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48AA1B24"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0B07D6">
        <w:rPr>
          <w:noProof w:val="0"/>
          <w:sz w:val="24"/>
          <w:szCs w:val="24"/>
          <w:lang w:val="en-US"/>
        </w:rPr>
        <w:t>2</w:t>
      </w:r>
      <w:r w:rsidR="00A34556">
        <w:rPr>
          <w:noProof w:val="0"/>
          <w:sz w:val="24"/>
          <w:szCs w:val="24"/>
          <w:lang w:val="en-US"/>
        </w:rPr>
        <w:t>2</w:t>
      </w:r>
      <w:r w:rsidRPr="001C1A03">
        <w:rPr>
          <w:bCs/>
          <w:noProof w:val="0"/>
          <w:sz w:val="24"/>
          <w:szCs w:val="24"/>
          <w:lang w:val="en-US"/>
        </w:rPr>
        <w:tab/>
      </w:r>
      <w:r w:rsidR="004B3508" w:rsidRPr="004B3508">
        <w:rPr>
          <w:bCs/>
          <w:noProof w:val="0"/>
          <w:sz w:val="24"/>
          <w:szCs w:val="24"/>
          <w:lang w:val="en-US"/>
        </w:rPr>
        <w:t>R2-2</w:t>
      </w:r>
      <w:r w:rsidR="00E2755D">
        <w:rPr>
          <w:bCs/>
          <w:noProof w:val="0"/>
          <w:sz w:val="24"/>
          <w:szCs w:val="24"/>
          <w:lang w:val="en-US"/>
        </w:rPr>
        <w:t>3</w:t>
      </w:r>
      <w:r w:rsidR="004544CA">
        <w:rPr>
          <w:bCs/>
          <w:noProof w:val="0"/>
          <w:sz w:val="24"/>
          <w:szCs w:val="24"/>
          <w:lang w:val="en-US"/>
        </w:rPr>
        <w:t>05078</w:t>
      </w:r>
    </w:p>
    <w:p w14:paraId="15E990BB" w14:textId="214EFB5E" w:rsidR="004770F0" w:rsidRPr="00737122" w:rsidRDefault="00A34556" w:rsidP="004770F0">
      <w:pPr>
        <w:pStyle w:val="Header"/>
        <w:tabs>
          <w:tab w:val="right" w:pos="9639"/>
        </w:tabs>
        <w:rPr>
          <w:noProof w:val="0"/>
          <w:sz w:val="24"/>
          <w:szCs w:val="24"/>
          <w:lang w:val="da-DK"/>
        </w:rPr>
      </w:pPr>
      <w:r>
        <w:rPr>
          <w:bCs/>
          <w:sz w:val="24"/>
        </w:rPr>
        <w:t>Incheon</w:t>
      </w:r>
      <w:r w:rsidR="000B07D6">
        <w:rPr>
          <w:rFonts w:eastAsia="SimSun"/>
          <w:sz w:val="24"/>
          <w:szCs w:val="24"/>
          <w:lang w:eastAsia="zh-CN"/>
        </w:rPr>
        <w:t>,</w:t>
      </w:r>
      <w:r w:rsidR="00E449B4" w:rsidRPr="00A84FFA">
        <w:rPr>
          <w:rFonts w:eastAsia="SimSun"/>
          <w:sz w:val="24"/>
          <w:szCs w:val="24"/>
          <w:lang w:eastAsia="zh-CN"/>
        </w:rPr>
        <w:t xml:space="preserve"> </w:t>
      </w:r>
      <w:r>
        <w:rPr>
          <w:rFonts w:eastAsia="SimSun"/>
          <w:sz w:val="24"/>
          <w:szCs w:val="24"/>
          <w:lang w:eastAsia="zh-CN"/>
        </w:rPr>
        <w:t>Korea, 22</w:t>
      </w:r>
      <w:r w:rsidR="007641FD">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C259EB">
        <w:rPr>
          <w:rFonts w:eastAsia="SimSun"/>
          <w:sz w:val="24"/>
          <w:szCs w:val="24"/>
          <w:lang w:eastAsia="zh-CN"/>
        </w:rPr>
        <w:t>26</w:t>
      </w:r>
      <w:r w:rsidR="007B663D" w:rsidRPr="0099316A">
        <w:rPr>
          <w:rFonts w:eastAsia="SimSun"/>
          <w:sz w:val="24"/>
          <w:szCs w:val="24"/>
          <w:lang w:eastAsia="zh-CN"/>
        </w:rPr>
        <w:t xml:space="preserve"> </w:t>
      </w:r>
      <w:r>
        <w:rPr>
          <w:rFonts w:eastAsia="SimSun"/>
          <w:sz w:val="24"/>
          <w:szCs w:val="24"/>
          <w:lang w:eastAsia="zh-CN"/>
        </w:rPr>
        <w:t>May</w:t>
      </w:r>
      <w:r w:rsidR="007B663D" w:rsidRPr="0099316A">
        <w:rPr>
          <w:rFonts w:eastAsia="SimSun"/>
          <w:sz w:val="24"/>
          <w:szCs w:val="24"/>
          <w:lang w:eastAsia="zh-CN"/>
        </w:rPr>
        <w:t xml:space="preserve"> </w:t>
      </w:r>
      <w:r w:rsidR="007B663D">
        <w:rPr>
          <w:rFonts w:eastAsia="SimSun"/>
          <w:sz w:val="24"/>
          <w:szCs w:val="24"/>
          <w:lang w:eastAsia="zh-CN"/>
        </w:rPr>
        <w:t>202</w:t>
      </w:r>
      <w:r w:rsidR="00E2755D">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8F0BD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C259EB">
        <w:rPr>
          <w:rFonts w:cs="Arial"/>
          <w:b/>
          <w:bCs/>
          <w:sz w:val="24"/>
          <w:lang w:val="da-DK"/>
        </w:rPr>
        <w:t>7</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BE7672">
        <w:rPr>
          <w:rFonts w:cs="Arial"/>
          <w:b/>
          <w:bCs/>
          <w:sz w:val="24"/>
          <w:lang w:val="da-DK"/>
        </w:rPr>
        <w:t>4</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57BAF5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B667E">
        <w:rPr>
          <w:rFonts w:ascii="Arial" w:hAnsi="Arial" w:cs="Arial"/>
          <w:b/>
          <w:bCs/>
          <w:sz w:val="24"/>
          <w:lang w:val="en-US"/>
        </w:rPr>
        <w:t>Discussion</w:t>
      </w:r>
      <w:r w:rsidR="00C259EB">
        <w:rPr>
          <w:rFonts w:ascii="Arial" w:hAnsi="Arial" w:cs="Arial"/>
          <w:b/>
          <w:bCs/>
          <w:sz w:val="24"/>
          <w:lang w:val="en-US"/>
        </w:rPr>
        <w:t xml:space="preserve">s on </w:t>
      </w:r>
      <w:proofErr w:type="spellStart"/>
      <w:r w:rsidR="00BE7672">
        <w:rPr>
          <w:rFonts w:ascii="Arial" w:hAnsi="Arial" w:cs="Arial"/>
          <w:b/>
          <w:bCs/>
          <w:sz w:val="24"/>
          <w:lang w:val="en-US"/>
        </w:rPr>
        <w:t>QoE</w:t>
      </w:r>
      <w:proofErr w:type="spellEnd"/>
      <w:r w:rsidR="00BE7672">
        <w:rPr>
          <w:rFonts w:ascii="Arial" w:hAnsi="Arial" w:cs="Arial"/>
          <w:b/>
          <w:bCs/>
          <w:sz w:val="24"/>
          <w:lang w:val="en-US"/>
        </w:rPr>
        <w:t xml:space="preserve"> </w:t>
      </w:r>
      <w:r w:rsidR="006D660F">
        <w:rPr>
          <w:rFonts w:ascii="Arial" w:hAnsi="Arial" w:cs="Arial"/>
          <w:b/>
          <w:bCs/>
          <w:sz w:val="24"/>
          <w:lang w:val="en-US"/>
        </w:rPr>
        <w:t xml:space="preserve">Reporting </w:t>
      </w:r>
      <w:r w:rsidR="00BE7672">
        <w:rPr>
          <w:rFonts w:ascii="Arial" w:hAnsi="Arial" w:cs="Arial"/>
          <w:b/>
          <w:bCs/>
          <w:sz w:val="24"/>
          <w:lang w:val="en-US"/>
        </w:rPr>
        <w:t>for NR-DC</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proofErr w:type="spellEnd"/>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42969153" w14:textId="328243BE" w:rsidR="000F2187" w:rsidRDefault="00D15DE7" w:rsidP="00D15DE7">
      <w:pPr>
        <w:jc w:val="both"/>
        <w:rPr>
          <w:iCs/>
          <w:lang w:val="en-US"/>
        </w:rPr>
      </w:pPr>
      <w:r>
        <w:rPr>
          <w:iCs/>
          <w:lang w:val="en-US"/>
        </w:rPr>
        <w:t>This paper aims to provide some our views on the</w:t>
      </w:r>
      <w:r w:rsidR="00196CA8">
        <w:rPr>
          <w:iCs/>
          <w:lang w:val="en-US"/>
        </w:rPr>
        <w:t xml:space="preserve"> WI objective relating to </w:t>
      </w:r>
      <w:proofErr w:type="spellStart"/>
      <w:r w:rsidR="00DB3CB8">
        <w:rPr>
          <w:iCs/>
          <w:lang w:val="en-US"/>
        </w:rPr>
        <w:t>QoE</w:t>
      </w:r>
      <w:proofErr w:type="spellEnd"/>
      <w:r w:rsidR="00DB3CB8">
        <w:rPr>
          <w:iCs/>
          <w:lang w:val="en-US"/>
        </w:rPr>
        <w:t xml:space="preserve"> in NR-DC</w:t>
      </w:r>
      <w:r w:rsidR="001E639C">
        <w:rPr>
          <w:iCs/>
          <w:lang w:val="en-US"/>
        </w:rPr>
        <w:t xml:space="preserve"> [1]</w:t>
      </w:r>
      <w:r>
        <w:rPr>
          <w:iCs/>
          <w:lang w:val="en-US"/>
        </w:rPr>
        <w:t>. We discuss the following:</w:t>
      </w:r>
    </w:p>
    <w:p w14:paraId="4EE1806A" w14:textId="65C81507" w:rsidR="00D15DE7" w:rsidRDefault="00D15DE7" w:rsidP="00D15DE7">
      <w:pPr>
        <w:pStyle w:val="ListParagraph"/>
        <w:numPr>
          <w:ilvl w:val="0"/>
          <w:numId w:val="32"/>
        </w:numPr>
        <w:jc w:val="both"/>
        <w:rPr>
          <w:iCs/>
          <w:lang w:val="en-US"/>
        </w:rPr>
      </w:pPr>
      <w:r>
        <w:rPr>
          <w:iCs/>
          <w:lang w:val="en-US"/>
        </w:rPr>
        <w:t xml:space="preserve">The issues relating to reporting of SN-associated </w:t>
      </w:r>
      <w:proofErr w:type="spellStart"/>
      <w:r>
        <w:rPr>
          <w:iCs/>
          <w:lang w:val="en-US"/>
        </w:rPr>
        <w:t>QoE</w:t>
      </w:r>
      <w:proofErr w:type="spellEnd"/>
      <w:r>
        <w:rPr>
          <w:iCs/>
          <w:lang w:val="en-US"/>
        </w:rPr>
        <w:t xml:space="preserve"> reports via SRB4, and</w:t>
      </w:r>
    </w:p>
    <w:p w14:paraId="5129AF9E" w14:textId="5AA06C8F" w:rsidR="00D15DE7" w:rsidRPr="00D15DE7" w:rsidRDefault="00D15DE7" w:rsidP="00D15DE7">
      <w:pPr>
        <w:pStyle w:val="ListParagraph"/>
        <w:numPr>
          <w:ilvl w:val="0"/>
          <w:numId w:val="32"/>
        </w:numPr>
        <w:jc w:val="both"/>
        <w:rPr>
          <w:iCs/>
          <w:lang w:val="en-US"/>
        </w:rPr>
      </w:pPr>
      <w:r>
        <w:rPr>
          <w:iCs/>
          <w:lang w:val="en-US"/>
        </w:rPr>
        <w:t>Switching of reporting SRB</w:t>
      </w:r>
    </w:p>
    <w:p w14:paraId="7ACE17B9" w14:textId="024E6C79" w:rsidR="005E6680" w:rsidRDefault="005E6680" w:rsidP="005E6680">
      <w:pPr>
        <w:pStyle w:val="Heading1"/>
        <w:rPr>
          <w:lang w:val="en-US"/>
        </w:rPr>
      </w:pPr>
      <w:r>
        <w:rPr>
          <w:lang w:val="en-US"/>
        </w:rPr>
        <w:t>Discussion</w:t>
      </w:r>
      <w:r w:rsidR="002929D8">
        <w:rPr>
          <w:lang w:val="en-US"/>
        </w:rPr>
        <w:t>s</w:t>
      </w:r>
    </w:p>
    <w:p w14:paraId="061CBA0C" w14:textId="726190CC" w:rsidR="0085368B" w:rsidRPr="0085368B" w:rsidRDefault="0085368B" w:rsidP="0085368B">
      <w:pPr>
        <w:pStyle w:val="Heading2"/>
        <w:rPr>
          <w:lang w:val="en-US"/>
        </w:rPr>
      </w:pPr>
      <w:r>
        <w:rPr>
          <w:lang w:val="en-US"/>
        </w:rPr>
        <w:t xml:space="preserve">Forwarding of SN-Associated </w:t>
      </w:r>
      <w:proofErr w:type="spellStart"/>
      <w:r>
        <w:rPr>
          <w:lang w:val="en-US"/>
        </w:rPr>
        <w:t>QoE</w:t>
      </w:r>
      <w:proofErr w:type="spellEnd"/>
      <w:r>
        <w:rPr>
          <w:lang w:val="en-US"/>
        </w:rPr>
        <w:t xml:space="preserve"> Report by MN</w:t>
      </w:r>
    </w:p>
    <w:p w14:paraId="7F0104FE" w14:textId="7BAA1D67" w:rsidR="00A37A50" w:rsidRDefault="00590E98" w:rsidP="000B2392">
      <w:pPr>
        <w:jc w:val="both"/>
        <w:rPr>
          <w:iCs/>
          <w:lang w:val="en-US"/>
        </w:rPr>
      </w:pPr>
      <w:r>
        <w:rPr>
          <w:iCs/>
          <w:lang w:val="en-US"/>
        </w:rPr>
        <w:t>During</w:t>
      </w:r>
      <w:r w:rsidRPr="00590E98">
        <w:rPr>
          <w:iCs/>
          <w:lang w:val="en-US"/>
        </w:rPr>
        <w:t xml:space="preserve"> </w:t>
      </w:r>
      <w:r w:rsidR="000B2392">
        <w:rPr>
          <w:iCs/>
          <w:lang w:val="en-US"/>
        </w:rPr>
        <w:t xml:space="preserve">RAN2 #121bis-e, we have discussed whether the UE can send SN-associated </w:t>
      </w:r>
      <w:proofErr w:type="spellStart"/>
      <w:r w:rsidR="000B2392">
        <w:rPr>
          <w:iCs/>
          <w:lang w:val="en-US"/>
        </w:rPr>
        <w:t>QoE</w:t>
      </w:r>
      <w:proofErr w:type="spellEnd"/>
      <w:r w:rsidR="000B2392">
        <w:rPr>
          <w:iCs/>
          <w:lang w:val="en-US"/>
        </w:rPr>
        <w:t xml:space="preserve"> reports to the MN when SRB5 is not configured. The following agreement is reached:</w:t>
      </w:r>
    </w:p>
    <w:tbl>
      <w:tblPr>
        <w:tblStyle w:val="TableGrid"/>
        <w:tblW w:w="0" w:type="auto"/>
        <w:tblLook w:val="04A0" w:firstRow="1" w:lastRow="0" w:firstColumn="1" w:lastColumn="0" w:noHBand="0" w:noVBand="1"/>
      </w:tblPr>
      <w:tblGrid>
        <w:gridCol w:w="9350"/>
      </w:tblGrid>
      <w:tr w:rsidR="000B2392" w14:paraId="522E62BB" w14:textId="77777777" w:rsidTr="000B2392">
        <w:tc>
          <w:tcPr>
            <w:tcW w:w="9350" w:type="dxa"/>
          </w:tcPr>
          <w:p w14:paraId="558A77D8" w14:textId="77777777" w:rsidR="000B2392" w:rsidRPr="00AD0FDA" w:rsidRDefault="000B2392" w:rsidP="000B2392">
            <w:pPr>
              <w:pStyle w:val="Agreement"/>
              <w:tabs>
                <w:tab w:val="clear" w:pos="1009"/>
                <w:tab w:val="clear" w:pos="1980"/>
                <w:tab w:val="num" w:pos="1619"/>
              </w:tabs>
              <w:ind w:left="1619"/>
            </w:pPr>
            <w:r w:rsidRPr="00AD0FDA">
              <w:t xml:space="preserve">9: For NR-DC, if SRB5 is not configured (FFS on the SCG deactivation case), UE can transmit the </w:t>
            </w:r>
            <w:r w:rsidRPr="000B2392">
              <w:t xml:space="preserve">SN-associated </w:t>
            </w:r>
            <w:proofErr w:type="spellStart"/>
            <w:r w:rsidRPr="000B2392">
              <w:t>QoE</w:t>
            </w:r>
            <w:proofErr w:type="spellEnd"/>
            <w:r w:rsidRPr="000B2392">
              <w:t xml:space="preserve"> reports via SRB4. </w:t>
            </w:r>
            <w:r w:rsidRPr="00E664EA">
              <w:rPr>
                <w:highlight w:val="yellow"/>
              </w:rPr>
              <w:t>FFS whether there are some ambiguities how MN knows where to forward this</w:t>
            </w:r>
            <w:r w:rsidRPr="000B2392">
              <w:t>.</w:t>
            </w:r>
            <w:r w:rsidRPr="00AD0FDA">
              <w:t xml:space="preserve"> </w:t>
            </w:r>
          </w:p>
          <w:p w14:paraId="4F678A38" w14:textId="77777777" w:rsidR="000B2392" w:rsidRDefault="000B2392" w:rsidP="000B2392">
            <w:pPr>
              <w:jc w:val="both"/>
              <w:rPr>
                <w:rStyle w:val="apple-converted-space"/>
                <w:color w:val="000000"/>
              </w:rPr>
            </w:pPr>
          </w:p>
        </w:tc>
      </w:tr>
    </w:tbl>
    <w:p w14:paraId="7D493BD2" w14:textId="77777777" w:rsidR="000B2392" w:rsidRDefault="000B2392" w:rsidP="000B2392">
      <w:pPr>
        <w:jc w:val="both"/>
        <w:rPr>
          <w:rStyle w:val="apple-converted-space"/>
          <w:color w:val="000000"/>
        </w:rPr>
      </w:pPr>
    </w:p>
    <w:p w14:paraId="11322686" w14:textId="25C2247D" w:rsidR="00E664EA" w:rsidRDefault="00E664EA" w:rsidP="000B2392">
      <w:pPr>
        <w:jc w:val="both"/>
        <w:rPr>
          <w:rStyle w:val="apple-converted-space"/>
          <w:color w:val="000000"/>
        </w:rPr>
      </w:pPr>
      <w:r>
        <w:rPr>
          <w:rStyle w:val="apple-converted-space"/>
          <w:color w:val="000000"/>
        </w:rPr>
        <w:t xml:space="preserve">In our understanding, we have the </w:t>
      </w:r>
      <w:r w:rsidR="002B5CE7" w:rsidRPr="002B5CE7">
        <w:rPr>
          <w:rStyle w:val="apple-converted-space"/>
          <w:color w:val="000000"/>
          <w:highlight w:val="yellow"/>
        </w:rPr>
        <w:t>highlighted</w:t>
      </w:r>
      <w:r w:rsidR="002B5CE7">
        <w:rPr>
          <w:rStyle w:val="apple-converted-space"/>
          <w:color w:val="000000"/>
        </w:rPr>
        <w:t xml:space="preserve"> </w:t>
      </w:r>
      <w:r>
        <w:rPr>
          <w:rStyle w:val="apple-converted-space"/>
          <w:color w:val="000000"/>
        </w:rPr>
        <w:t xml:space="preserve">FFS part in the agreement because it is questionable whether the </w:t>
      </w:r>
      <w:proofErr w:type="spellStart"/>
      <w:r>
        <w:rPr>
          <w:rStyle w:val="apple-converted-space"/>
          <w:color w:val="000000"/>
        </w:rPr>
        <w:t>QoE</w:t>
      </w:r>
      <w:proofErr w:type="spellEnd"/>
      <w:r>
        <w:rPr>
          <w:rStyle w:val="apple-converted-space"/>
          <w:color w:val="000000"/>
        </w:rPr>
        <w:t xml:space="preserve"> report should be forwarded to the MCE directly, or whether it should be forwarded to the SN. Based on the latest progress in RAN3, it seems MN and SN can coordinate to make sure the MN (or SN) knows how to deliver the </w:t>
      </w:r>
      <w:proofErr w:type="spellStart"/>
      <w:r>
        <w:rPr>
          <w:rStyle w:val="apple-converted-space"/>
          <w:color w:val="000000"/>
        </w:rPr>
        <w:t>QoE</w:t>
      </w:r>
      <w:proofErr w:type="spellEnd"/>
      <w:r>
        <w:rPr>
          <w:rStyle w:val="apple-converted-space"/>
          <w:color w:val="000000"/>
        </w:rPr>
        <w:t xml:space="preserve"> reports to the MCE properly. In addition, the MN can also forward the </w:t>
      </w:r>
      <w:proofErr w:type="spellStart"/>
      <w:r w:rsidR="00B21DF3">
        <w:rPr>
          <w:rStyle w:val="apple-converted-space"/>
          <w:color w:val="000000"/>
        </w:rPr>
        <w:t>RV</w:t>
      </w:r>
      <w:r>
        <w:rPr>
          <w:rStyle w:val="apple-converted-space"/>
          <w:color w:val="000000"/>
        </w:rPr>
        <w:t>QoE</w:t>
      </w:r>
      <w:proofErr w:type="spellEnd"/>
      <w:r>
        <w:rPr>
          <w:rStyle w:val="apple-converted-space"/>
          <w:color w:val="000000"/>
        </w:rPr>
        <w:t xml:space="preserve"> report to the SN</w:t>
      </w:r>
      <w:r w:rsidR="00B21DF3">
        <w:rPr>
          <w:rStyle w:val="apple-converted-space"/>
          <w:color w:val="000000"/>
        </w:rPr>
        <w:t xml:space="preserve"> when SRB5 is not configured</w:t>
      </w:r>
      <w:r>
        <w:rPr>
          <w:rStyle w:val="apple-converted-space"/>
          <w:color w:val="000000"/>
        </w:rPr>
        <w:t>. Some of the agreements made in RAN3#119bis-e are shown below:</w:t>
      </w:r>
    </w:p>
    <w:tbl>
      <w:tblPr>
        <w:tblStyle w:val="TableGrid"/>
        <w:tblW w:w="0" w:type="auto"/>
        <w:tblLook w:val="04A0" w:firstRow="1" w:lastRow="0" w:firstColumn="1" w:lastColumn="0" w:noHBand="0" w:noVBand="1"/>
      </w:tblPr>
      <w:tblGrid>
        <w:gridCol w:w="9350"/>
      </w:tblGrid>
      <w:tr w:rsidR="00E664EA" w14:paraId="04F267B5" w14:textId="77777777" w:rsidTr="00E664EA">
        <w:tc>
          <w:tcPr>
            <w:tcW w:w="9350" w:type="dxa"/>
          </w:tcPr>
          <w:p w14:paraId="51B1AE17" w14:textId="77777777" w:rsidR="00983273" w:rsidRPr="00983273" w:rsidRDefault="00983273" w:rsidP="00983273">
            <w:pPr>
              <w:spacing w:before="120" w:after="0"/>
              <w:rPr>
                <w:rFonts w:ascii="Calibri" w:hAnsi="Calibri" w:cs="Calibri"/>
                <w:b/>
                <w:color w:val="008000"/>
                <w:sz w:val="18"/>
              </w:rPr>
            </w:pPr>
            <w:r w:rsidRPr="00983273">
              <w:rPr>
                <w:rStyle w:val="15"/>
                <w:rFonts w:ascii="Calibri" w:hAnsi="Calibri" w:cs="Calibri"/>
                <w:b/>
                <w:color w:val="008000"/>
                <w:sz w:val="18"/>
                <w:u w:val="none"/>
              </w:rPr>
              <w:t xml:space="preserve">When SN indicates its interest in configuring </w:t>
            </w:r>
            <w:proofErr w:type="gramStart"/>
            <w:r w:rsidRPr="00983273">
              <w:rPr>
                <w:rStyle w:val="15"/>
                <w:rFonts w:ascii="Calibri" w:hAnsi="Calibri" w:cs="Calibri"/>
                <w:b/>
                <w:color w:val="008000"/>
                <w:sz w:val="18"/>
                <w:u w:val="none"/>
              </w:rPr>
              <w:t>m-based</w:t>
            </w:r>
            <w:proofErr w:type="gramEnd"/>
            <w:r w:rsidRPr="00983273">
              <w:rPr>
                <w:rStyle w:val="15"/>
                <w:rFonts w:ascii="Calibri" w:hAnsi="Calibri" w:cs="Calibri"/>
                <w:b/>
                <w:color w:val="008000"/>
                <w:sz w:val="18"/>
                <w:u w:val="none"/>
              </w:rPr>
              <w:t xml:space="preserve"> </w:t>
            </w:r>
            <w:proofErr w:type="spellStart"/>
            <w:r w:rsidRPr="00983273">
              <w:rPr>
                <w:rStyle w:val="15"/>
                <w:rFonts w:ascii="Calibri" w:hAnsi="Calibri" w:cs="Calibri"/>
                <w:b/>
                <w:color w:val="008000"/>
                <w:sz w:val="18"/>
                <w:u w:val="none"/>
              </w:rPr>
              <w:t>QoE</w:t>
            </w:r>
            <w:proofErr w:type="spellEnd"/>
            <w:r w:rsidRPr="00983273">
              <w:rPr>
                <w:rStyle w:val="15"/>
                <w:rFonts w:ascii="Calibri" w:hAnsi="Calibri" w:cs="Calibri"/>
                <w:b/>
                <w:color w:val="008000"/>
                <w:sz w:val="18"/>
                <w:u w:val="none"/>
              </w:rPr>
              <w:t xml:space="preserve"> a measurement to a UE:</w:t>
            </w:r>
          </w:p>
          <w:p w14:paraId="28708BDD" w14:textId="77777777" w:rsidR="00983273" w:rsidRPr="00983273" w:rsidRDefault="00983273" w:rsidP="00983273">
            <w:pPr>
              <w:spacing w:before="120" w:after="0"/>
              <w:rPr>
                <w:rFonts w:ascii="Calibri" w:hAnsi="Calibri" w:cs="Calibri"/>
                <w:b/>
                <w:color w:val="008000"/>
                <w:sz w:val="18"/>
              </w:rPr>
            </w:pPr>
            <w:r w:rsidRPr="00983273">
              <w:rPr>
                <w:rStyle w:val="15"/>
                <w:rFonts w:ascii="Calibri" w:hAnsi="Calibri" w:cs="Calibri"/>
                <w:b/>
                <w:color w:val="008000"/>
                <w:sz w:val="18"/>
                <w:u w:val="none"/>
              </w:rPr>
              <w:t>The SN can indicate to the MN that the reports are to be sent via the SRB5.</w:t>
            </w:r>
            <w:r w:rsidRPr="00983273">
              <w:rPr>
                <w:rFonts w:ascii="Calibri" w:hAnsi="Calibri" w:cs="Calibri"/>
                <w:b/>
                <w:color w:val="008000"/>
                <w:sz w:val="18"/>
              </w:rPr>
              <w:t xml:space="preserve"> </w:t>
            </w:r>
          </w:p>
          <w:p w14:paraId="00B25928" w14:textId="77777777" w:rsidR="00983273" w:rsidRPr="00983273" w:rsidRDefault="00983273" w:rsidP="00983273">
            <w:pPr>
              <w:spacing w:before="120" w:after="0"/>
              <w:rPr>
                <w:rStyle w:val="15"/>
                <w:rFonts w:ascii="Calibri" w:hAnsi="Calibri" w:cs="Calibri"/>
                <w:b/>
                <w:sz w:val="18"/>
                <w:u w:val="none"/>
              </w:rPr>
            </w:pPr>
            <w:r w:rsidRPr="00983273">
              <w:rPr>
                <w:rStyle w:val="15"/>
                <w:rFonts w:ascii="Calibri" w:hAnsi="Calibri" w:cs="Calibri"/>
                <w:b/>
                <w:color w:val="008000"/>
                <w:sz w:val="18"/>
                <w:highlight w:val="yellow"/>
                <w:u w:val="none"/>
              </w:rPr>
              <w:t>The SN can request the use of the SRB4 for reporting, which the MN can confirm or reject</w:t>
            </w:r>
            <w:r w:rsidRPr="00983273">
              <w:rPr>
                <w:rStyle w:val="15"/>
                <w:rFonts w:ascii="Calibri" w:hAnsi="Calibri" w:cs="Calibri"/>
                <w:b/>
                <w:color w:val="008000"/>
                <w:sz w:val="18"/>
                <w:u w:val="none"/>
              </w:rPr>
              <w:t>.</w:t>
            </w:r>
            <w:r w:rsidRPr="00983273">
              <w:rPr>
                <w:rStyle w:val="15"/>
                <w:rFonts w:ascii="Calibri" w:hAnsi="Calibri" w:cs="Calibri"/>
                <w:b/>
                <w:sz w:val="18"/>
                <w:u w:val="none"/>
              </w:rPr>
              <w:t xml:space="preserve"> FFS whether the indication is explicit or implicit. </w:t>
            </w:r>
          </w:p>
          <w:p w14:paraId="14385F6E" w14:textId="5113744D" w:rsidR="00983273" w:rsidRDefault="00983273" w:rsidP="00E664EA">
            <w:pPr>
              <w:spacing w:before="120" w:after="0"/>
              <w:rPr>
                <w:rStyle w:val="15"/>
                <w:rFonts w:ascii="Calibri" w:hAnsi="Calibri" w:cs="Calibri"/>
                <w:b/>
                <w:color w:val="008000"/>
                <w:sz w:val="18"/>
                <w:u w:val="none"/>
              </w:rPr>
            </w:pPr>
            <w:r>
              <w:rPr>
                <w:rStyle w:val="15"/>
                <w:rFonts w:ascii="Calibri" w:hAnsi="Calibri" w:cs="Calibri"/>
                <w:b/>
                <w:color w:val="008000"/>
                <w:sz w:val="18"/>
                <w:u w:val="none"/>
              </w:rPr>
              <w:t>…</w:t>
            </w:r>
          </w:p>
          <w:p w14:paraId="52BFFB42" w14:textId="7200653A" w:rsidR="00E664EA" w:rsidRPr="00E664EA" w:rsidRDefault="00E664EA" w:rsidP="00E664EA">
            <w:pPr>
              <w:spacing w:before="120" w:after="0"/>
              <w:rPr>
                <w:rFonts w:ascii="Calibri" w:hAnsi="Calibri" w:cs="Calibri"/>
                <w:b/>
                <w:color w:val="008000"/>
                <w:sz w:val="18"/>
              </w:rPr>
            </w:pPr>
            <w:r w:rsidRPr="00E664EA">
              <w:rPr>
                <w:rStyle w:val="15"/>
                <w:rFonts w:ascii="Calibri" w:hAnsi="Calibri" w:cs="Calibri"/>
                <w:b/>
                <w:color w:val="008000"/>
                <w:sz w:val="18"/>
                <w:u w:val="none"/>
              </w:rPr>
              <w:t xml:space="preserve">If the SN is asked by the MN to forward to the MCE the </w:t>
            </w:r>
            <w:proofErr w:type="spellStart"/>
            <w:r w:rsidRPr="00E664EA">
              <w:rPr>
                <w:rStyle w:val="15"/>
                <w:rFonts w:ascii="Calibri" w:hAnsi="Calibri" w:cs="Calibri"/>
                <w:b/>
                <w:color w:val="008000"/>
                <w:sz w:val="18"/>
                <w:u w:val="none"/>
              </w:rPr>
              <w:t>QoE</w:t>
            </w:r>
            <w:proofErr w:type="spellEnd"/>
            <w:r w:rsidRPr="00E664EA">
              <w:rPr>
                <w:rStyle w:val="15"/>
                <w:rFonts w:ascii="Calibri" w:hAnsi="Calibri" w:cs="Calibri"/>
                <w:b/>
                <w:color w:val="008000"/>
                <w:sz w:val="18"/>
                <w:u w:val="none"/>
              </w:rPr>
              <w:t xml:space="preserve"> reports pertaining to a measurement configured by the MN, the MN should indicate to the SN the </w:t>
            </w:r>
            <w:proofErr w:type="spellStart"/>
            <w:r w:rsidRPr="00E664EA">
              <w:rPr>
                <w:rStyle w:val="15"/>
                <w:rFonts w:ascii="Calibri" w:hAnsi="Calibri" w:cs="Calibri"/>
                <w:b/>
                <w:color w:val="008000"/>
                <w:sz w:val="18"/>
                <w:u w:val="none"/>
              </w:rPr>
              <w:t>QoE</w:t>
            </w:r>
            <w:proofErr w:type="spellEnd"/>
            <w:r w:rsidRPr="00E664EA">
              <w:rPr>
                <w:rStyle w:val="15"/>
                <w:rFonts w:ascii="Calibri" w:hAnsi="Calibri" w:cs="Calibri"/>
                <w:b/>
                <w:color w:val="008000"/>
                <w:sz w:val="18"/>
                <w:u w:val="none"/>
              </w:rPr>
              <w:t xml:space="preserve"> Reference, the MCE IP Address and the RRC ID.</w:t>
            </w:r>
          </w:p>
          <w:p w14:paraId="2A16F67C" w14:textId="77777777" w:rsidR="00E664EA" w:rsidRDefault="00E664EA" w:rsidP="00E664EA">
            <w:pPr>
              <w:spacing w:before="120" w:after="0"/>
              <w:rPr>
                <w:rStyle w:val="15"/>
                <w:rFonts w:ascii="Calibri" w:hAnsi="Calibri" w:cs="Calibri"/>
                <w:b/>
                <w:color w:val="008000"/>
                <w:sz w:val="18"/>
                <w:u w:val="none"/>
              </w:rPr>
            </w:pPr>
            <w:r w:rsidRPr="00983273">
              <w:rPr>
                <w:rStyle w:val="15"/>
                <w:rFonts w:ascii="Calibri" w:hAnsi="Calibri" w:cs="Calibri"/>
                <w:b/>
                <w:color w:val="008000"/>
                <w:sz w:val="18"/>
                <w:highlight w:val="yellow"/>
                <w:u w:val="none"/>
              </w:rPr>
              <w:lastRenderedPageBreak/>
              <w:t xml:space="preserve">If the MN is asked by the SN to forward to the MCE the </w:t>
            </w:r>
            <w:proofErr w:type="spellStart"/>
            <w:r w:rsidRPr="00983273">
              <w:rPr>
                <w:rStyle w:val="15"/>
                <w:rFonts w:ascii="Calibri" w:hAnsi="Calibri" w:cs="Calibri"/>
                <w:b/>
                <w:color w:val="008000"/>
                <w:sz w:val="18"/>
                <w:highlight w:val="yellow"/>
                <w:u w:val="none"/>
              </w:rPr>
              <w:t>QoE</w:t>
            </w:r>
            <w:proofErr w:type="spellEnd"/>
            <w:r w:rsidRPr="00983273">
              <w:rPr>
                <w:rStyle w:val="15"/>
                <w:rFonts w:ascii="Calibri" w:hAnsi="Calibri" w:cs="Calibri"/>
                <w:b/>
                <w:color w:val="008000"/>
                <w:sz w:val="18"/>
                <w:highlight w:val="yellow"/>
                <w:u w:val="none"/>
              </w:rPr>
              <w:t xml:space="preserve"> reports pertaining to a measurement configured by the SN, the SN should indicate to the MN the </w:t>
            </w:r>
            <w:proofErr w:type="spellStart"/>
            <w:r w:rsidRPr="00983273">
              <w:rPr>
                <w:rStyle w:val="15"/>
                <w:rFonts w:ascii="Calibri" w:hAnsi="Calibri" w:cs="Calibri"/>
                <w:b/>
                <w:color w:val="008000"/>
                <w:sz w:val="18"/>
                <w:highlight w:val="yellow"/>
                <w:u w:val="none"/>
              </w:rPr>
              <w:t>QoE</w:t>
            </w:r>
            <w:proofErr w:type="spellEnd"/>
            <w:r w:rsidRPr="00983273">
              <w:rPr>
                <w:rStyle w:val="15"/>
                <w:rFonts w:ascii="Calibri" w:hAnsi="Calibri" w:cs="Calibri"/>
                <w:b/>
                <w:color w:val="008000"/>
                <w:sz w:val="18"/>
                <w:highlight w:val="yellow"/>
                <w:u w:val="none"/>
              </w:rPr>
              <w:t xml:space="preserve"> Reference and the MCE IP Address</w:t>
            </w:r>
            <w:r w:rsidRPr="00E664EA">
              <w:rPr>
                <w:rStyle w:val="15"/>
                <w:rFonts w:ascii="Calibri" w:hAnsi="Calibri" w:cs="Calibri"/>
                <w:b/>
                <w:color w:val="008000"/>
                <w:sz w:val="18"/>
                <w:u w:val="none"/>
              </w:rPr>
              <w:t>.</w:t>
            </w:r>
          </w:p>
          <w:p w14:paraId="333A40DD" w14:textId="42632BB0" w:rsidR="00E664EA" w:rsidRDefault="00E664EA" w:rsidP="00E664EA">
            <w:pPr>
              <w:spacing w:before="120" w:after="0"/>
              <w:rPr>
                <w:rFonts w:ascii="Calibri" w:hAnsi="Calibri" w:cs="Calibri"/>
                <w:b/>
                <w:color w:val="008000"/>
                <w:sz w:val="18"/>
              </w:rPr>
            </w:pPr>
            <w:r>
              <w:rPr>
                <w:rFonts w:ascii="Calibri" w:hAnsi="Calibri" w:cs="Calibri"/>
                <w:b/>
                <w:color w:val="008000"/>
                <w:sz w:val="18"/>
              </w:rPr>
              <w:t>…</w:t>
            </w:r>
            <w:r>
              <w:t xml:space="preserve"> </w:t>
            </w:r>
          </w:p>
          <w:p w14:paraId="5C6739E7" w14:textId="6AEDDDD5" w:rsidR="00E664EA" w:rsidRPr="00E664EA" w:rsidRDefault="00E664EA" w:rsidP="00E664EA">
            <w:pPr>
              <w:spacing w:before="120" w:after="0"/>
              <w:rPr>
                <w:rFonts w:ascii="Calibri" w:hAnsi="Calibri" w:cs="Calibri"/>
                <w:b/>
                <w:color w:val="008000"/>
                <w:sz w:val="18"/>
              </w:rPr>
            </w:pPr>
            <w:r w:rsidRPr="00983273">
              <w:rPr>
                <w:rStyle w:val="15"/>
                <w:rFonts w:ascii="Calibri" w:hAnsi="Calibri" w:cs="Calibri"/>
                <w:b/>
                <w:color w:val="008000"/>
                <w:sz w:val="18"/>
                <w:highlight w:val="yellow"/>
                <w:u w:val="none"/>
              </w:rPr>
              <w:t xml:space="preserve">If the SRB5 is not configured, the </w:t>
            </w:r>
            <w:proofErr w:type="spellStart"/>
            <w:r w:rsidRPr="00983273">
              <w:rPr>
                <w:rStyle w:val="15"/>
                <w:rFonts w:ascii="Calibri" w:hAnsi="Calibri" w:cs="Calibri"/>
                <w:b/>
                <w:color w:val="008000"/>
                <w:sz w:val="18"/>
                <w:highlight w:val="yellow"/>
                <w:u w:val="none"/>
              </w:rPr>
              <w:t>RVQoE</w:t>
            </w:r>
            <w:proofErr w:type="spellEnd"/>
            <w:r w:rsidRPr="00983273">
              <w:rPr>
                <w:rStyle w:val="15"/>
                <w:rFonts w:ascii="Calibri" w:hAnsi="Calibri" w:cs="Calibri"/>
                <w:b/>
                <w:color w:val="008000"/>
                <w:sz w:val="18"/>
                <w:highlight w:val="yellow"/>
                <w:u w:val="none"/>
              </w:rPr>
              <w:t xml:space="preserve"> reports can be sent on the SRB4 from the UE via the MN to the SN</w:t>
            </w:r>
            <w:r w:rsidRPr="00E664EA">
              <w:rPr>
                <w:rStyle w:val="15"/>
                <w:rFonts w:ascii="Calibri" w:hAnsi="Calibri" w:cs="Calibri"/>
                <w:b/>
                <w:color w:val="008000"/>
                <w:sz w:val="18"/>
                <w:u w:val="none"/>
              </w:rPr>
              <w:t>.</w:t>
            </w:r>
          </w:p>
          <w:p w14:paraId="5E47D63A" w14:textId="77777777" w:rsidR="00E664EA" w:rsidRDefault="00E664EA" w:rsidP="000B2392">
            <w:pPr>
              <w:jc w:val="both"/>
              <w:rPr>
                <w:rStyle w:val="apple-converted-space"/>
                <w:color w:val="000000"/>
              </w:rPr>
            </w:pPr>
          </w:p>
        </w:tc>
      </w:tr>
    </w:tbl>
    <w:p w14:paraId="1B5B66F4" w14:textId="77777777" w:rsidR="00E664EA" w:rsidRDefault="00E664EA" w:rsidP="000B2392">
      <w:pPr>
        <w:jc w:val="both"/>
        <w:rPr>
          <w:rStyle w:val="apple-converted-space"/>
          <w:color w:val="000000"/>
        </w:rPr>
      </w:pPr>
    </w:p>
    <w:p w14:paraId="4938E67A" w14:textId="0FBC9287" w:rsidR="0085368B" w:rsidRDefault="0085368B" w:rsidP="000B2392">
      <w:pPr>
        <w:jc w:val="both"/>
        <w:rPr>
          <w:rStyle w:val="apple-converted-space"/>
          <w:color w:val="000000"/>
        </w:rPr>
      </w:pPr>
      <w:r>
        <w:rPr>
          <w:rStyle w:val="apple-converted-space"/>
          <w:color w:val="000000"/>
        </w:rPr>
        <w:t xml:space="preserve">Thus, </w:t>
      </w:r>
      <w:r w:rsidR="00983273">
        <w:rPr>
          <w:rStyle w:val="apple-converted-space"/>
          <w:color w:val="000000"/>
        </w:rPr>
        <w:t xml:space="preserve">at least for </w:t>
      </w:r>
      <w:proofErr w:type="gramStart"/>
      <w:r w:rsidR="00983273">
        <w:rPr>
          <w:rStyle w:val="apple-converted-space"/>
          <w:color w:val="000000"/>
        </w:rPr>
        <w:t>m-based</w:t>
      </w:r>
      <w:proofErr w:type="gramEnd"/>
      <w:r w:rsidR="00983273">
        <w:rPr>
          <w:rStyle w:val="apple-converted-space"/>
          <w:color w:val="000000"/>
        </w:rPr>
        <w:t xml:space="preserve"> </w:t>
      </w:r>
      <w:proofErr w:type="spellStart"/>
      <w:r w:rsidR="00983273">
        <w:rPr>
          <w:rStyle w:val="apple-converted-space"/>
          <w:color w:val="000000"/>
        </w:rPr>
        <w:t>QoE</w:t>
      </w:r>
      <w:proofErr w:type="spellEnd"/>
      <w:r w:rsidR="00983273">
        <w:rPr>
          <w:rStyle w:val="apple-converted-space"/>
          <w:color w:val="000000"/>
        </w:rPr>
        <w:t xml:space="preserve"> measurements, </w:t>
      </w:r>
      <w:r>
        <w:rPr>
          <w:rStyle w:val="apple-converted-space"/>
          <w:color w:val="000000"/>
        </w:rPr>
        <w:t>we think there is no ambiguity</w:t>
      </w:r>
      <w:r w:rsidR="002E178C">
        <w:rPr>
          <w:rStyle w:val="apple-converted-space"/>
          <w:color w:val="000000"/>
        </w:rPr>
        <w:t xml:space="preserve"> for the MN.</w:t>
      </w:r>
      <w:r>
        <w:rPr>
          <w:rStyle w:val="apple-converted-space"/>
          <w:color w:val="000000"/>
        </w:rPr>
        <w:t xml:space="preserve"> </w:t>
      </w:r>
      <w:r w:rsidR="002E178C">
        <w:rPr>
          <w:rStyle w:val="apple-converted-space"/>
          <w:color w:val="000000"/>
        </w:rPr>
        <w:t>T</w:t>
      </w:r>
      <w:r>
        <w:rPr>
          <w:rStyle w:val="apple-converted-space"/>
          <w:color w:val="000000"/>
        </w:rPr>
        <w:t xml:space="preserve">he MN should be able to forward the SN-associated </w:t>
      </w:r>
      <w:proofErr w:type="spellStart"/>
      <w:r>
        <w:rPr>
          <w:rStyle w:val="apple-converted-space"/>
          <w:color w:val="000000"/>
        </w:rPr>
        <w:t>QoE</w:t>
      </w:r>
      <w:proofErr w:type="spellEnd"/>
      <w:r>
        <w:rPr>
          <w:rStyle w:val="apple-converted-space"/>
          <w:color w:val="000000"/>
        </w:rPr>
        <w:t xml:space="preserve"> reports </w:t>
      </w:r>
      <w:r w:rsidR="002E178C">
        <w:rPr>
          <w:rStyle w:val="apple-converted-space"/>
          <w:color w:val="000000"/>
        </w:rPr>
        <w:t xml:space="preserve">correctly </w:t>
      </w:r>
      <w:proofErr w:type="gramStart"/>
      <w:r w:rsidR="002E178C">
        <w:rPr>
          <w:rStyle w:val="apple-converted-space"/>
          <w:color w:val="000000"/>
        </w:rPr>
        <w:t>as long as</w:t>
      </w:r>
      <w:proofErr w:type="gramEnd"/>
      <w:r w:rsidR="002E178C">
        <w:rPr>
          <w:rStyle w:val="apple-converted-space"/>
          <w:color w:val="000000"/>
        </w:rPr>
        <w:t xml:space="preserve"> MN and SN are properly coordinated</w:t>
      </w:r>
      <w:r>
        <w:rPr>
          <w:rStyle w:val="apple-converted-space"/>
          <w:color w:val="000000"/>
        </w:rPr>
        <w:t>.</w:t>
      </w:r>
    </w:p>
    <w:p w14:paraId="3751173E" w14:textId="7F8141A7" w:rsidR="00972BC4" w:rsidRDefault="00972BC4" w:rsidP="00972BC4">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sidR="00983273">
        <w:rPr>
          <w:b/>
          <w:bCs/>
          <w:iCs/>
          <w:lang w:val="en-US"/>
        </w:rPr>
        <w:t xml:space="preserve">Based on the latest RAN3 agreements, </w:t>
      </w:r>
      <w:r w:rsidR="002E178C">
        <w:rPr>
          <w:b/>
          <w:bCs/>
          <w:iCs/>
          <w:lang w:val="en-US"/>
        </w:rPr>
        <w:t>RAN2 can assume that MN knows</w:t>
      </w:r>
      <w:r w:rsidR="00983273">
        <w:rPr>
          <w:b/>
          <w:bCs/>
          <w:iCs/>
          <w:lang w:val="en-US"/>
        </w:rPr>
        <w:t xml:space="preserve"> where the forward the SN-associated </w:t>
      </w:r>
      <w:proofErr w:type="spellStart"/>
      <w:r w:rsidR="00983273">
        <w:rPr>
          <w:b/>
          <w:bCs/>
          <w:iCs/>
          <w:lang w:val="en-US"/>
        </w:rPr>
        <w:t>QoE</w:t>
      </w:r>
      <w:proofErr w:type="spellEnd"/>
      <w:r w:rsidR="00983273">
        <w:rPr>
          <w:b/>
          <w:bCs/>
          <w:iCs/>
          <w:lang w:val="en-US"/>
        </w:rPr>
        <w:t xml:space="preserve"> reports, </w:t>
      </w:r>
      <w:proofErr w:type="gramStart"/>
      <w:r w:rsidR="00983273">
        <w:rPr>
          <w:b/>
          <w:bCs/>
          <w:iCs/>
          <w:lang w:val="en-US"/>
        </w:rPr>
        <w:t>as long as</w:t>
      </w:r>
      <w:proofErr w:type="gramEnd"/>
      <w:r w:rsidR="00983273">
        <w:rPr>
          <w:b/>
          <w:bCs/>
          <w:iCs/>
          <w:lang w:val="en-US"/>
        </w:rPr>
        <w:t xml:space="preserve"> MN and SN are coordinated. </w:t>
      </w:r>
    </w:p>
    <w:p w14:paraId="304E15D6" w14:textId="77777777" w:rsidR="00972BC4" w:rsidRPr="00A37A50" w:rsidRDefault="00972BC4" w:rsidP="00691958">
      <w:pPr>
        <w:jc w:val="both"/>
        <w:rPr>
          <w:b/>
          <w:bCs/>
          <w:lang w:val="en-US"/>
        </w:rPr>
      </w:pPr>
    </w:p>
    <w:p w14:paraId="51620C12" w14:textId="13D382B8" w:rsidR="009D3FFD" w:rsidRPr="00EB5478" w:rsidRDefault="00983273" w:rsidP="00A31F34">
      <w:pPr>
        <w:jc w:val="both"/>
        <w:rPr>
          <w:color w:val="000000"/>
        </w:rPr>
      </w:pPr>
      <w:r>
        <w:rPr>
          <w:rStyle w:val="apple-converted-space"/>
          <w:color w:val="000000"/>
        </w:rPr>
        <w:t xml:space="preserve">RAN3 has </w:t>
      </w:r>
      <w:r w:rsidR="004544CA">
        <w:rPr>
          <w:rStyle w:val="apple-converted-space"/>
          <w:color w:val="000000"/>
        </w:rPr>
        <w:t xml:space="preserve">also </w:t>
      </w:r>
      <w:r>
        <w:rPr>
          <w:rStyle w:val="apple-converted-space"/>
          <w:color w:val="000000"/>
        </w:rPr>
        <w:t xml:space="preserve">agreed that the MN is able to </w:t>
      </w:r>
      <w:r w:rsidR="00EB5478">
        <w:rPr>
          <w:rStyle w:val="apple-converted-space"/>
          <w:color w:val="000000"/>
        </w:rPr>
        <w:t xml:space="preserve">forward at least the SN-associated RV </w:t>
      </w:r>
      <w:proofErr w:type="spellStart"/>
      <w:r w:rsidR="00EB5478">
        <w:rPr>
          <w:rStyle w:val="apple-converted-space"/>
          <w:color w:val="000000"/>
        </w:rPr>
        <w:t>QoE</w:t>
      </w:r>
      <w:proofErr w:type="spellEnd"/>
      <w:r w:rsidR="00EB5478">
        <w:rPr>
          <w:rStyle w:val="apple-converted-space"/>
          <w:color w:val="000000"/>
        </w:rPr>
        <w:t xml:space="preserve"> reports to the SN, and a question for RAN2 is, in which message the SN-associated </w:t>
      </w:r>
      <w:proofErr w:type="spellStart"/>
      <w:r w:rsidR="00EB5478">
        <w:rPr>
          <w:rStyle w:val="apple-converted-space"/>
          <w:color w:val="000000"/>
        </w:rPr>
        <w:t>RVQoE</w:t>
      </w:r>
      <w:proofErr w:type="spellEnd"/>
      <w:r w:rsidR="00EB5478">
        <w:rPr>
          <w:rStyle w:val="apple-converted-space"/>
          <w:color w:val="000000"/>
        </w:rPr>
        <w:t xml:space="preserve"> report should be transmitted? In our view, we already have a procedure based on</w:t>
      </w:r>
      <w:r w:rsidR="00972BC4">
        <w:rPr>
          <w:rStyle w:val="apple-converted-space"/>
          <w:color w:val="000000"/>
        </w:rPr>
        <w:t xml:space="preserve"> </w:t>
      </w:r>
      <w:proofErr w:type="spellStart"/>
      <w:r w:rsidR="00972BC4" w:rsidRPr="00A37A50">
        <w:rPr>
          <w:rStyle w:val="apple-converted-space"/>
          <w:i/>
          <w:iCs/>
          <w:color w:val="000000"/>
        </w:rPr>
        <w:t>ULInformationTransferMRDC</w:t>
      </w:r>
      <w:proofErr w:type="spellEnd"/>
      <w:r w:rsidR="00972BC4">
        <w:rPr>
          <w:rStyle w:val="apple-converted-space"/>
          <w:i/>
          <w:iCs/>
          <w:color w:val="000000"/>
        </w:rPr>
        <w:t xml:space="preserve"> </w:t>
      </w:r>
      <w:r w:rsidR="00EB5478">
        <w:rPr>
          <w:rStyle w:val="apple-converted-space"/>
          <w:color w:val="000000"/>
        </w:rPr>
        <w:t xml:space="preserve">that can be used </w:t>
      </w:r>
      <w:r w:rsidR="00972BC4">
        <w:rPr>
          <w:rStyle w:val="apple-converted-space"/>
          <w:color w:val="000000"/>
        </w:rPr>
        <w:t>to transfer MR-DC dedicated information from the UE to the network.</w:t>
      </w:r>
      <w:r w:rsidR="00A31F34">
        <w:rPr>
          <w:rStyle w:val="apple-converted-space"/>
          <w:color w:val="000000"/>
        </w:rPr>
        <w:t xml:space="preserve"> The information such as </w:t>
      </w:r>
      <w:r w:rsidR="00A31F34" w:rsidRPr="00740BCD">
        <w:t xml:space="preserve">RRC </w:t>
      </w:r>
      <w:r w:rsidR="00A31F34" w:rsidRPr="00A31F34">
        <w:rPr>
          <w:iCs/>
        </w:rPr>
        <w:t xml:space="preserve">Measurement Report, </w:t>
      </w:r>
      <w:r w:rsidR="00A31F34" w:rsidRPr="00A31F34">
        <w:rPr>
          <w:iCs/>
          <w:lang w:eastAsia="zh-CN"/>
        </w:rPr>
        <w:t>UE Assistance Information</w:t>
      </w:r>
      <w:r w:rsidR="00A31F34" w:rsidRPr="00A31F34">
        <w:rPr>
          <w:iCs/>
        </w:rPr>
        <w:t>, and Failure Information</w:t>
      </w:r>
      <w:r w:rsidR="00A31F34">
        <w:rPr>
          <w:iCs/>
        </w:rPr>
        <w:t xml:space="preserve"> can be included </w:t>
      </w:r>
      <w:r w:rsidR="00EB5478">
        <w:rPr>
          <w:iCs/>
        </w:rPr>
        <w:t xml:space="preserve">as transparent containers </w:t>
      </w:r>
      <w:r w:rsidR="00A31F34">
        <w:rPr>
          <w:iCs/>
        </w:rPr>
        <w:t xml:space="preserve">in the </w:t>
      </w:r>
      <w:proofErr w:type="spellStart"/>
      <w:r w:rsidR="00A31F34" w:rsidRPr="00A37A50">
        <w:rPr>
          <w:rStyle w:val="apple-converted-space"/>
          <w:i/>
          <w:iCs/>
          <w:color w:val="000000"/>
        </w:rPr>
        <w:t>ULInformationTransferMRDC</w:t>
      </w:r>
      <w:proofErr w:type="spellEnd"/>
      <w:r w:rsidR="00A31F34">
        <w:rPr>
          <w:rStyle w:val="apple-converted-space"/>
          <w:i/>
          <w:iCs/>
          <w:color w:val="000000"/>
        </w:rPr>
        <w:t xml:space="preserve"> </w:t>
      </w:r>
      <w:r w:rsidR="00A31F34" w:rsidRPr="00A31F34">
        <w:rPr>
          <w:rStyle w:val="apple-converted-space"/>
          <w:color w:val="000000"/>
        </w:rPr>
        <w:t>message</w:t>
      </w:r>
      <w:r w:rsidR="00A31F34">
        <w:rPr>
          <w:rStyle w:val="apple-converted-space"/>
          <w:color w:val="000000"/>
        </w:rPr>
        <w:t xml:space="preserve">. Currently, the </w:t>
      </w:r>
      <w:proofErr w:type="spellStart"/>
      <w:r w:rsidR="00A31F34" w:rsidRPr="00A37A50">
        <w:rPr>
          <w:rStyle w:val="apple-converted-space"/>
          <w:i/>
          <w:iCs/>
          <w:color w:val="000000"/>
        </w:rPr>
        <w:t>ULInformationTransferMRDC</w:t>
      </w:r>
      <w:proofErr w:type="spellEnd"/>
      <w:r w:rsidR="00A31F34">
        <w:rPr>
          <w:rStyle w:val="apple-converted-space"/>
          <w:i/>
          <w:iCs/>
          <w:color w:val="000000"/>
        </w:rPr>
        <w:t xml:space="preserve"> </w:t>
      </w:r>
      <w:r w:rsidR="00A31F34" w:rsidRPr="00A31F34">
        <w:rPr>
          <w:rStyle w:val="apple-converted-space"/>
          <w:color w:val="000000"/>
        </w:rPr>
        <w:t>message</w:t>
      </w:r>
      <w:r w:rsidR="00A31F34">
        <w:rPr>
          <w:rStyle w:val="apple-converted-space"/>
          <w:color w:val="000000"/>
        </w:rPr>
        <w:t xml:space="preserve"> is sent on either SRB1 or SRB3, depending on whether the UE intends to transfer MCG Failure Information.</w:t>
      </w:r>
      <w:r w:rsidR="00EB5478">
        <w:rPr>
          <w:rStyle w:val="apple-converted-space"/>
          <w:color w:val="000000"/>
        </w:rPr>
        <w:t xml:space="preserve"> Therefore,</w:t>
      </w:r>
      <w:r w:rsidR="009D3FFD">
        <w:rPr>
          <w:rStyle w:val="apple-converted-space"/>
          <w:color w:val="000000"/>
        </w:rPr>
        <w:t xml:space="preserve"> </w:t>
      </w:r>
      <w:r w:rsidR="00EB5478">
        <w:rPr>
          <w:rStyle w:val="apple-converted-space"/>
          <w:color w:val="000000"/>
        </w:rPr>
        <w:t xml:space="preserve">when </w:t>
      </w:r>
      <w:r w:rsidR="009D3FFD">
        <w:rPr>
          <w:rStyle w:val="apple-converted-space"/>
          <w:color w:val="000000"/>
        </w:rPr>
        <w:t xml:space="preserve">the UE intends to provide </w:t>
      </w:r>
      <w:r w:rsidR="00EB5478">
        <w:rPr>
          <w:rStyle w:val="apple-converted-space"/>
          <w:color w:val="000000"/>
        </w:rPr>
        <w:t xml:space="preserve">SN-associated </w:t>
      </w:r>
      <w:proofErr w:type="spellStart"/>
      <w:r w:rsidR="009D3FFD">
        <w:rPr>
          <w:rStyle w:val="apple-converted-space"/>
          <w:color w:val="000000"/>
        </w:rPr>
        <w:t>QoE</w:t>
      </w:r>
      <w:proofErr w:type="spellEnd"/>
      <w:r w:rsidR="009D3FFD">
        <w:rPr>
          <w:rStyle w:val="apple-converted-space"/>
          <w:color w:val="000000"/>
        </w:rPr>
        <w:t xml:space="preserve"> measurements </w:t>
      </w:r>
      <w:r w:rsidR="00EB5478">
        <w:rPr>
          <w:rStyle w:val="apple-converted-space"/>
          <w:color w:val="000000"/>
        </w:rPr>
        <w:t xml:space="preserve">via </w:t>
      </w:r>
      <w:r w:rsidR="009D3FFD">
        <w:rPr>
          <w:rStyle w:val="apple-converted-space"/>
          <w:color w:val="000000"/>
        </w:rPr>
        <w:t xml:space="preserve">SRB4, the </w:t>
      </w:r>
      <w:proofErr w:type="spellStart"/>
      <w:r w:rsidR="009D3FFD" w:rsidRPr="00A37A50">
        <w:rPr>
          <w:rStyle w:val="apple-converted-space"/>
          <w:i/>
          <w:iCs/>
          <w:color w:val="000000"/>
        </w:rPr>
        <w:t>ULInformationTransferMRDC</w:t>
      </w:r>
      <w:proofErr w:type="spellEnd"/>
      <w:r w:rsidR="009D3FFD">
        <w:rPr>
          <w:rStyle w:val="apple-converted-space"/>
          <w:i/>
          <w:iCs/>
          <w:color w:val="000000"/>
        </w:rPr>
        <w:t xml:space="preserve"> </w:t>
      </w:r>
      <w:r w:rsidR="009D3FFD" w:rsidRPr="00A31F34">
        <w:rPr>
          <w:rStyle w:val="apple-converted-space"/>
          <w:color w:val="000000"/>
        </w:rPr>
        <w:t>message</w:t>
      </w:r>
      <w:r w:rsidR="009D3FFD">
        <w:rPr>
          <w:rStyle w:val="apple-converted-space"/>
          <w:color w:val="000000"/>
        </w:rPr>
        <w:t xml:space="preserve"> can be extended </w:t>
      </w:r>
      <w:r w:rsidR="00C27B75">
        <w:rPr>
          <w:rStyle w:val="apple-converted-space"/>
          <w:color w:val="000000"/>
        </w:rPr>
        <w:t xml:space="preserve">by allowing it </w:t>
      </w:r>
      <w:r w:rsidR="009D3FFD">
        <w:rPr>
          <w:rStyle w:val="apple-converted-space"/>
          <w:color w:val="000000"/>
        </w:rPr>
        <w:t>to carry application layer measurement information for SN</w:t>
      </w:r>
      <w:r w:rsidR="00C27B75">
        <w:rPr>
          <w:rStyle w:val="apple-converted-space"/>
          <w:color w:val="000000"/>
        </w:rPr>
        <w:t>. Moreover, when the UE intends to transfer</w:t>
      </w:r>
      <w:r w:rsidR="00C27B75" w:rsidRPr="00C27B75">
        <w:rPr>
          <w:rStyle w:val="apple-converted-space"/>
          <w:color w:val="000000"/>
        </w:rPr>
        <w:t xml:space="preserve"> </w:t>
      </w:r>
      <w:r w:rsidR="00C27B75">
        <w:rPr>
          <w:rStyle w:val="apple-converted-space"/>
          <w:color w:val="000000"/>
        </w:rPr>
        <w:t xml:space="preserve">application layer measurement information with </w:t>
      </w:r>
      <w:proofErr w:type="spellStart"/>
      <w:r w:rsidR="00C27B75" w:rsidRPr="00A37A50">
        <w:rPr>
          <w:rStyle w:val="apple-converted-space"/>
          <w:i/>
          <w:iCs/>
          <w:color w:val="000000"/>
        </w:rPr>
        <w:t>ULInformationTransferMRDC</w:t>
      </w:r>
      <w:proofErr w:type="spellEnd"/>
      <w:r w:rsidR="00C27B75">
        <w:rPr>
          <w:rStyle w:val="apple-converted-space"/>
          <w:i/>
          <w:iCs/>
          <w:color w:val="000000"/>
        </w:rPr>
        <w:t xml:space="preserve"> </w:t>
      </w:r>
      <w:r w:rsidR="00C27B75" w:rsidRPr="00A31F34">
        <w:rPr>
          <w:rStyle w:val="apple-converted-space"/>
          <w:color w:val="000000"/>
        </w:rPr>
        <w:t>message</w:t>
      </w:r>
      <w:r w:rsidR="00C27B75">
        <w:rPr>
          <w:rStyle w:val="apple-converted-space"/>
          <w:color w:val="000000"/>
        </w:rPr>
        <w:t>, such message should be transmitted</w:t>
      </w:r>
      <w:r w:rsidR="009D3FFD">
        <w:rPr>
          <w:rStyle w:val="apple-converted-space"/>
          <w:color w:val="000000"/>
        </w:rPr>
        <w:t xml:space="preserve"> over SRB4 </w:t>
      </w:r>
      <w:r w:rsidR="00C27B75">
        <w:rPr>
          <w:rStyle w:val="apple-converted-space"/>
          <w:color w:val="000000"/>
        </w:rPr>
        <w:t xml:space="preserve">(which is </w:t>
      </w:r>
      <w:proofErr w:type="gramStart"/>
      <w:r w:rsidR="00C27B75">
        <w:rPr>
          <w:rStyle w:val="apple-converted-space"/>
          <w:color w:val="000000"/>
        </w:rPr>
        <w:t>a</w:t>
      </w:r>
      <w:proofErr w:type="gramEnd"/>
      <w:r w:rsidR="00C27B75">
        <w:rPr>
          <w:rStyle w:val="apple-converted-space"/>
          <w:color w:val="000000"/>
        </w:rPr>
        <w:t xml:space="preserve"> MCG bearer)</w:t>
      </w:r>
      <w:r w:rsidR="009D3FFD">
        <w:rPr>
          <w:rStyle w:val="apple-converted-space"/>
          <w:color w:val="000000"/>
        </w:rPr>
        <w:t xml:space="preserve">. </w:t>
      </w:r>
      <w:r w:rsidR="001E639C">
        <w:rPr>
          <w:rStyle w:val="apple-converted-space"/>
          <w:color w:val="000000"/>
        </w:rPr>
        <w:t>At the network side, the</w:t>
      </w:r>
      <w:r w:rsidR="00EB5478">
        <w:rPr>
          <w:rStyle w:val="apple-converted-space"/>
          <w:color w:val="000000"/>
        </w:rPr>
        <w:t>re is no ambiguity as the</w:t>
      </w:r>
      <w:r w:rsidR="001E639C">
        <w:rPr>
          <w:rStyle w:val="apple-converted-space"/>
          <w:color w:val="000000"/>
        </w:rPr>
        <w:t xml:space="preserve"> MN </w:t>
      </w:r>
      <w:r w:rsidR="00EB5478">
        <w:rPr>
          <w:rStyle w:val="apple-converted-space"/>
          <w:color w:val="000000"/>
        </w:rPr>
        <w:t xml:space="preserve">will naturally forward the </w:t>
      </w:r>
      <w:r w:rsidR="002E178C">
        <w:rPr>
          <w:rStyle w:val="apple-converted-space"/>
          <w:color w:val="000000"/>
        </w:rPr>
        <w:t xml:space="preserve">transparent containers of </w:t>
      </w:r>
      <w:proofErr w:type="spellStart"/>
      <w:r w:rsidR="002E178C" w:rsidRPr="00A37A50">
        <w:rPr>
          <w:rStyle w:val="apple-converted-space"/>
          <w:i/>
          <w:iCs/>
          <w:color w:val="000000"/>
        </w:rPr>
        <w:t>ULInformationTransferMRDC</w:t>
      </w:r>
      <w:proofErr w:type="spellEnd"/>
      <w:r w:rsidR="002E178C">
        <w:rPr>
          <w:rStyle w:val="apple-converted-space"/>
          <w:i/>
          <w:iCs/>
          <w:color w:val="000000"/>
        </w:rPr>
        <w:t xml:space="preserve"> </w:t>
      </w:r>
      <w:r w:rsidR="002E178C" w:rsidRPr="00A31F34">
        <w:rPr>
          <w:rStyle w:val="apple-converted-space"/>
          <w:color w:val="000000"/>
        </w:rPr>
        <w:t>message</w:t>
      </w:r>
      <w:r w:rsidR="002E178C">
        <w:rPr>
          <w:rStyle w:val="apple-converted-space"/>
          <w:color w:val="000000"/>
        </w:rPr>
        <w:t xml:space="preserve"> </w:t>
      </w:r>
      <w:r w:rsidR="001E639C">
        <w:rPr>
          <w:rStyle w:val="apple-converted-space"/>
          <w:color w:val="000000"/>
        </w:rPr>
        <w:t>to the SN</w:t>
      </w:r>
      <w:r w:rsidR="002E178C">
        <w:rPr>
          <w:rStyle w:val="apple-converted-space"/>
          <w:color w:val="000000"/>
        </w:rPr>
        <w:t>.</w:t>
      </w:r>
      <w:r w:rsidR="001E639C">
        <w:rPr>
          <w:rStyle w:val="apple-converted-space"/>
          <w:color w:val="000000"/>
        </w:rPr>
        <w:t xml:space="preserve"> </w:t>
      </w:r>
    </w:p>
    <w:p w14:paraId="72AA69CE" w14:textId="12D41275" w:rsidR="00F7470E" w:rsidRDefault="00F7470E" w:rsidP="009B0746">
      <w:pPr>
        <w:jc w:val="both"/>
        <w:rPr>
          <w:rStyle w:val="apple-converted-space"/>
          <w:b/>
          <w:bCs/>
          <w:color w:val="000000"/>
        </w:rPr>
      </w:pPr>
      <w:r w:rsidRPr="006E52F4">
        <w:rPr>
          <w:b/>
          <w:bCs/>
          <w:iCs/>
          <w:lang w:val="en-US"/>
        </w:rPr>
        <w:t xml:space="preserve">Proposal </w:t>
      </w:r>
      <w:r>
        <w:rPr>
          <w:b/>
          <w:bCs/>
          <w:iCs/>
          <w:lang w:val="en-US"/>
        </w:rPr>
        <w:t>2</w:t>
      </w:r>
      <w:r w:rsidRPr="006E52F4">
        <w:rPr>
          <w:b/>
          <w:bCs/>
          <w:iCs/>
          <w:lang w:val="en-US"/>
        </w:rPr>
        <w:t xml:space="preserve">: </w:t>
      </w:r>
      <w:r w:rsidR="009D3FFD">
        <w:rPr>
          <w:b/>
          <w:bCs/>
          <w:iCs/>
          <w:lang w:val="en-US"/>
        </w:rPr>
        <w:t xml:space="preserve">The </w:t>
      </w:r>
      <w:proofErr w:type="spellStart"/>
      <w:r w:rsidR="009D3FFD" w:rsidRPr="009D3FFD">
        <w:rPr>
          <w:rStyle w:val="apple-converted-space"/>
          <w:b/>
          <w:bCs/>
          <w:i/>
          <w:iCs/>
          <w:color w:val="000000"/>
        </w:rPr>
        <w:t>ULInformationTransferMRDC</w:t>
      </w:r>
      <w:proofErr w:type="spellEnd"/>
      <w:r w:rsidR="009D3FFD" w:rsidRPr="009D3FFD">
        <w:rPr>
          <w:rStyle w:val="apple-converted-space"/>
          <w:b/>
          <w:bCs/>
          <w:i/>
          <w:iCs/>
          <w:color w:val="000000"/>
        </w:rPr>
        <w:t xml:space="preserve"> </w:t>
      </w:r>
      <w:r w:rsidR="009D3FFD" w:rsidRPr="009D3FFD">
        <w:rPr>
          <w:rStyle w:val="apple-converted-space"/>
          <w:b/>
          <w:bCs/>
          <w:color w:val="000000"/>
        </w:rPr>
        <w:t xml:space="preserve">message </w:t>
      </w:r>
      <w:r w:rsidR="002E178C">
        <w:rPr>
          <w:rStyle w:val="apple-converted-space"/>
          <w:b/>
          <w:bCs/>
          <w:color w:val="000000"/>
        </w:rPr>
        <w:t xml:space="preserve">can be </w:t>
      </w:r>
      <w:r w:rsidR="009D3FFD" w:rsidRPr="009D3FFD">
        <w:rPr>
          <w:rStyle w:val="apple-converted-space"/>
          <w:b/>
          <w:bCs/>
          <w:color w:val="000000"/>
        </w:rPr>
        <w:t xml:space="preserve">extended to support </w:t>
      </w:r>
      <w:r w:rsidR="002E178C">
        <w:rPr>
          <w:rStyle w:val="apple-converted-space"/>
          <w:b/>
          <w:bCs/>
          <w:color w:val="000000"/>
        </w:rPr>
        <w:t xml:space="preserve">reporting of at least the SN-associated </w:t>
      </w:r>
      <w:proofErr w:type="spellStart"/>
      <w:r w:rsidR="002E178C">
        <w:rPr>
          <w:rStyle w:val="apple-converted-space"/>
          <w:b/>
          <w:bCs/>
          <w:color w:val="000000"/>
        </w:rPr>
        <w:t>RVQoE</w:t>
      </w:r>
      <w:proofErr w:type="spellEnd"/>
      <w:r w:rsidR="002E178C">
        <w:rPr>
          <w:rStyle w:val="apple-converted-space"/>
          <w:b/>
          <w:bCs/>
          <w:color w:val="000000"/>
        </w:rPr>
        <w:t xml:space="preserve"> reports via SRB4.</w:t>
      </w:r>
    </w:p>
    <w:p w14:paraId="5B5F9162" w14:textId="77777777" w:rsidR="002E178C" w:rsidRDefault="002E178C" w:rsidP="009B0746">
      <w:pPr>
        <w:jc w:val="both"/>
        <w:rPr>
          <w:b/>
          <w:bCs/>
          <w:iCs/>
          <w:lang w:val="en-US"/>
        </w:rPr>
      </w:pPr>
    </w:p>
    <w:p w14:paraId="5BCFBB30" w14:textId="4603A441" w:rsidR="002E178C" w:rsidRPr="0085368B" w:rsidRDefault="002E178C" w:rsidP="002E178C">
      <w:pPr>
        <w:pStyle w:val="Heading2"/>
        <w:rPr>
          <w:lang w:val="en-US"/>
        </w:rPr>
      </w:pPr>
      <w:r>
        <w:rPr>
          <w:lang w:val="en-US"/>
        </w:rPr>
        <w:t>Switching of Reporting SRB</w:t>
      </w:r>
    </w:p>
    <w:p w14:paraId="40176021" w14:textId="220441C5" w:rsidR="002E178C" w:rsidRDefault="009B01C6" w:rsidP="009B0746">
      <w:pPr>
        <w:jc w:val="both"/>
        <w:rPr>
          <w:iCs/>
          <w:lang w:val="en-US"/>
        </w:rPr>
      </w:pPr>
      <w:r>
        <w:rPr>
          <w:iCs/>
          <w:lang w:val="en-US"/>
        </w:rPr>
        <w:t>We have made the following agreements relating to reporting leg switching in RAN2 #121bis-e.</w:t>
      </w:r>
    </w:p>
    <w:tbl>
      <w:tblPr>
        <w:tblStyle w:val="TableGrid"/>
        <w:tblW w:w="0" w:type="auto"/>
        <w:tblLook w:val="04A0" w:firstRow="1" w:lastRow="0" w:firstColumn="1" w:lastColumn="0" w:noHBand="0" w:noVBand="1"/>
      </w:tblPr>
      <w:tblGrid>
        <w:gridCol w:w="9350"/>
      </w:tblGrid>
      <w:tr w:rsidR="009B01C6" w14:paraId="0A9E6144" w14:textId="77777777" w:rsidTr="009B01C6">
        <w:tc>
          <w:tcPr>
            <w:tcW w:w="9350" w:type="dxa"/>
          </w:tcPr>
          <w:p w14:paraId="79062838" w14:textId="77777777" w:rsidR="009B01C6" w:rsidRPr="009B01C6" w:rsidRDefault="009B01C6" w:rsidP="009B01C6">
            <w:pPr>
              <w:pStyle w:val="Agreement"/>
              <w:tabs>
                <w:tab w:val="clear" w:pos="1009"/>
                <w:tab w:val="clear" w:pos="1980"/>
                <w:tab w:val="num" w:pos="1619"/>
              </w:tabs>
              <w:ind w:left="1619"/>
            </w:pPr>
            <w:r w:rsidRPr="009B01C6">
              <w:t xml:space="preserve">14: As a baseline, Rel-17 pause/resume procedure is reused to pause/resume reporting of one or multiple </w:t>
            </w:r>
            <w:proofErr w:type="spellStart"/>
            <w:r w:rsidRPr="009B01C6">
              <w:t>QoE</w:t>
            </w:r>
            <w:proofErr w:type="spellEnd"/>
            <w:r w:rsidRPr="009B01C6">
              <w:t xml:space="preserve"> measurement configurations in a UE for NR-DC. </w:t>
            </w:r>
            <w:r w:rsidRPr="009B01C6">
              <w:rPr>
                <w:highlight w:val="yellow"/>
              </w:rPr>
              <w:t xml:space="preserve">Details are FFS, </w:t>
            </w:r>
            <w:proofErr w:type="gramStart"/>
            <w:r w:rsidRPr="009B01C6">
              <w:rPr>
                <w:highlight w:val="yellow"/>
              </w:rPr>
              <w:t>e.g.</w:t>
            </w:r>
            <w:proofErr w:type="gramEnd"/>
            <w:r w:rsidRPr="009B01C6">
              <w:rPr>
                <w:highlight w:val="yellow"/>
              </w:rPr>
              <w:t xml:space="preserve"> whether paused </w:t>
            </w:r>
            <w:proofErr w:type="spellStart"/>
            <w:r w:rsidRPr="009B01C6">
              <w:rPr>
                <w:highlight w:val="yellow"/>
              </w:rPr>
              <w:t>QoE</w:t>
            </w:r>
            <w:proofErr w:type="spellEnd"/>
            <w:r w:rsidRPr="009B01C6">
              <w:rPr>
                <w:highlight w:val="yellow"/>
              </w:rPr>
              <w:t xml:space="preserve"> reports can be reported to SN (if SN is not overload).</w:t>
            </w:r>
          </w:p>
          <w:p w14:paraId="62550FBB" w14:textId="66CCBE55" w:rsidR="009B01C6" w:rsidRPr="009B01C6" w:rsidRDefault="009B01C6" w:rsidP="009B0746">
            <w:pPr>
              <w:jc w:val="both"/>
              <w:rPr>
                <w:iCs/>
              </w:rPr>
            </w:pPr>
            <w:r w:rsidRPr="009B01C6">
              <w:rPr>
                <w:iCs/>
              </w:rPr>
              <w:t>…</w:t>
            </w:r>
          </w:p>
          <w:p w14:paraId="74495F6F" w14:textId="77777777" w:rsidR="009B01C6" w:rsidRPr="009B01C6" w:rsidRDefault="009B01C6" w:rsidP="009B01C6">
            <w:pPr>
              <w:pStyle w:val="Agreement"/>
              <w:tabs>
                <w:tab w:val="clear" w:pos="1009"/>
                <w:tab w:val="clear" w:pos="1980"/>
                <w:tab w:val="num" w:pos="1619"/>
              </w:tabs>
              <w:ind w:left="1619"/>
            </w:pPr>
            <w:r w:rsidRPr="009B01C6">
              <w:t>5: There is no feedback from AS to AL in case reporting SRB is changed. This means that an ongoing application layer measurement session in APP layer is not affected when the reporting SRB is changed. The reporting SRB can also be changed even if the application session (from AS layer point of view) is ongoing.</w:t>
            </w:r>
          </w:p>
          <w:p w14:paraId="253E5D00" w14:textId="587A2185" w:rsidR="009B01C6" w:rsidRPr="009B01C6" w:rsidRDefault="009B01C6" w:rsidP="009B0746">
            <w:pPr>
              <w:jc w:val="both"/>
              <w:rPr>
                <w:iCs/>
              </w:rPr>
            </w:pPr>
            <w:r w:rsidRPr="009B01C6">
              <w:rPr>
                <w:iCs/>
              </w:rPr>
              <w:t>…</w:t>
            </w:r>
          </w:p>
          <w:p w14:paraId="3B2133CD" w14:textId="77777777" w:rsidR="009B01C6" w:rsidRDefault="009B01C6" w:rsidP="009B01C6">
            <w:pPr>
              <w:pStyle w:val="Agreement"/>
              <w:tabs>
                <w:tab w:val="clear" w:pos="1009"/>
                <w:tab w:val="clear" w:pos="1980"/>
                <w:tab w:val="num" w:pos="1619"/>
              </w:tabs>
              <w:ind w:left="1619"/>
            </w:pPr>
            <w:r w:rsidRPr="009B01C6">
              <w:t xml:space="preserve">4: For SRB switching in NR-DC scenario, FFS on the explicit indication and implicit indication, </w:t>
            </w:r>
            <w:proofErr w:type="gramStart"/>
            <w:r w:rsidRPr="009B01C6">
              <w:t>e.g.</w:t>
            </w:r>
            <w:proofErr w:type="gramEnd"/>
            <w:r w:rsidRPr="009B01C6">
              <w:t xml:space="preserve"> </w:t>
            </w:r>
            <w:proofErr w:type="spellStart"/>
            <w:r w:rsidRPr="009B01C6">
              <w:t>signaling</w:t>
            </w:r>
            <w:proofErr w:type="spellEnd"/>
            <w:r w:rsidRPr="009B01C6">
              <w:t xml:space="preserve"> impacts, details on UE/NW behaviours.</w:t>
            </w:r>
          </w:p>
          <w:p w14:paraId="545CE3DC" w14:textId="254A4C26" w:rsidR="00D15DE7" w:rsidRPr="00D15DE7" w:rsidRDefault="00D15DE7" w:rsidP="00D15DE7">
            <w:pPr>
              <w:rPr>
                <w:lang w:eastAsia="en-GB"/>
              </w:rPr>
            </w:pPr>
          </w:p>
        </w:tc>
      </w:tr>
    </w:tbl>
    <w:p w14:paraId="4FCA6C4E" w14:textId="77777777" w:rsidR="009B01C6" w:rsidRPr="009B01C6" w:rsidRDefault="009B01C6" w:rsidP="009B0746">
      <w:pPr>
        <w:jc w:val="both"/>
        <w:rPr>
          <w:iCs/>
          <w:lang w:val="en-US"/>
        </w:rPr>
      </w:pPr>
    </w:p>
    <w:p w14:paraId="6176A7C8" w14:textId="40C85C5E" w:rsidR="00456672" w:rsidRDefault="009B01C6" w:rsidP="009B0746">
      <w:pPr>
        <w:jc w:val="both"/>
        <w:rPr>
          <w:iCs/>
          <w:lang w:val="en-US"/>
        </w:rPr>
      </w:pPr>
      <w:r w:rsidRPr="009B01C6">
        <w:rPr>
          <w:iCs/>
          <w:lang w:val="en-US"/>
        </w:rPr>
        <w:lastRenderedPageBreak/>
        <w:t>Similarly</w:t>
      </w:r>
      <w:r>
        <w:rPr>
          <w:iCs/>
          <w:lang w:val="en-US"/>
        </w:rPr>
        <w:t>, RAN3 has concluded on the following:</w:t>
      </w:r>
    </w:p>
    <w:tbl>
      <w:tblPr>
        <w:tblStyle w:val="TableGrid"/>
        <w:tblW w:w="0" w:type="auto"/>
        <w:tblLook w:val="04A0" w:firstRow="1" w:lastRow="0" w:firstColumn="1" w:lastColumn="0" w:noHBand="0" w:noVBand="1"/>
      </w:tblPr>
      <w:tblGrid>
        <w:gridCol w:w="9350"/>
      </w:tblGrid>
      <w:tr w:rsidR="009B01C6" w14:paraId="46B853CE" w14:textId="77777777" w:rsidTr="009B01C6">
        <w:tc>
          <w:tcPr>
            <w:tcW w:w="9350" w:type="dxa"/>
          </w:tcPr>
          <w:p w14:paraId="2873DE67" w14:textId="77777777" w:rsidR="009B01C6" w:rsidRPr="00776AF6" w:rsidRDefault="009B01C6" w:rsidP="009B01C6">
            <w:pPr>
              <w:spacing w:before="120" w:after="0"/>
              <w:rPr>
                <w:rFonts w:ascii="Calibri" w:hAnsi="Calibri" w:cs="Calibri"/>
                <w:b/>
                <w:color w:val="008000"/>
                <w:sz w:val="18"/>
              </w:rPr>
            </w:pPr>
            <w:r w:rsidRPr="00776AF6">
              <w:rPr>
                <w:rStyle w:val="15"/>
                <w:rFonts w:ascii="Calibri" w:hAnsi="Calibri" w:cs="Calibri"/>
                <w:b/>
                <w:color w:val="008000"/>
                <w:sz w:val="18"/>
                <w:u w:val="none"/>
              </w:rPr>
              <w:t>The network can explicitly instruct a UE in NR-DC to switch the reporting leg.</w:t>
            </w:r>
          </w:p>
          <w:p w14:paraId="68661907" w14:textId="77777777" w:rsidR="009B01C6" w:rsidRDefault="009B01C6" w:rsidP="009B01C6">
            <w:pPr>
              <w:spacing w:before="120" w:after="0"/>
              <w:rPr>
                <w:rStyle w:val="15"/>
                <w:rFonts w:ascii="Calibri" w:hAnsi="Calibri" w:cs="Calibri"/>
                <w:b/>
                <w:color w:val="008000"/>
                <w:sz w:val="18"/>
                <w:u w:val="none"/>
              </w:rPr>
            </w:pPr>
            <w:r w:rsidRPr="00776AF6">
              <w:rPr>
                <w:rStyle w:val="15"/>
                <w:rFonts w:ascii="Calibri" w:hAnsi="Calibri" w:cs="Calibri"/>
                <w:b/>
                <w:color w:val="008000"/>
                <w:sz w:val="18"/>
                <w:u w:val="none"/>
              </w:rPr>
              <w:t xml:space="preserve">The leg switching command can be sent to the UE by the node that configured that specific </w:t>
            </w:r>
            <w:proofErr w:type="spellStart"/>
            <w:r w:rsidRPr="00776AF6">
              <w:rPr>
                <w:rStyle w:val="15"/>
                <w:rFonts w:ascii="Calibri" w:hAnsi="Calibri" w:cs="Calibri"/>
                <w:b/>
                <w:color w:val="008000"/>
                <w:sz w:val="18"/>
                <w:u w:val="none"/>
              </w:rPr>
              <w:t>QoE</w:t>
            </w:r>
            <w:proofErr w:type="spellEnd"/>
            <w:r w:rsidRPr="00776AF6">
              <w:rPr>
                <w:rStyle w:val="15"/>
                <w:rFonts w:ascii="Calibri" w:hAnsi="Calibri" w:cs="Calibri"/>
                <w:b/>
                <w:color w:val="008000"/>
                <w:sz w:val="18"/>
                <w:u w:val="none"/>
              </w:rPr>
              <w:t xml:space="preserve"> configuration.</w:t>
            </w:r>
          </w:p>
          <w:p w14:paraId="5BDE4064" w14:textId="2D6E43B0" w:rsidR="00776AF6" w:rsidRPr="00776AF6" w:rsidRDefault="00776AF6" w:rsidP="009B01C6">
            <w:pPr>
              <w:spacing w:before="120" w:after="0"/>
              <w:rPr>
                <w:rFonts w:ascii="Calibri" w:hAnsi="Calibri" w:cs="Calibri"/>
                <w:b/>
                <w:color w:val="008000"/>
                <w:sz w:val="18"/>
              </w:rPr>
            </w:pPr>
            <w:r w:rsidRPr="00776AF6">
              <w:rPr>
                <w:rStyle w:val="15"/>
                <w:rFonts w:ascii="Calibri" w:hAnsi="Calibri" w:cs="Calibri"/>
                <w:b/>
                <w:color w:val="008000"/>
                <w:sz w:val="18"/>
                <w:u w:val="none"/>
              </w:rPr>
              <w:t>…</w:t>
            </w:r>
          </w:p>
          <w:p w14:paraId="351A8EAA" w14:textId="77777777" w:rsidR="009B01C6" w:rsidRPr="00776AF6" w:rsidRDefault="009B01C6" w:rsidP="009B01C6">
            <w:pPr>
              <w:spacing w:before="120" w:after="0"/>
              <w:rPr>
                <w:rStyle w:val="15"/>
                <w:rFonts w:ascii="Calibri" w:hAnsi="Calibri" w:cs="Calibri"/>
                <w:b/>
                <w:color w:val="008000"/>
                <w:sz w:val="18"/>
                <w:u w:val="none"/>
              </w:rPr>
            </w:pPr>
            <w:r w:rsidRPr="00776AF6">
              <w:rPr>
                <w:rStyle w:val="15"/>
                <w:rFonts w:ascii="Calibri" w:hAnsi="Calibri" w:cs="Calibri"/>
                <w:b/>
                <w:color w:val="008000"/>
                <w:sz w:val="18"/>
                <w:u w:val="none"/>
              </w:rPr>
              <w:t xml:space="preserve">The node that currently receives the </w:t>
            </w:r>
            <w:proofErr w:type="spellStart"/>
            <w:r w:rsidRPr="00776AF6">
              <w:rPr>
                <w:rStyle w:val="15"/>
                <w:rFonts w:ascii="Calibri" w:hAnsi="Calibri" w:cs="Calibri"/>
                <w:b/>
                <w:color w:val="008000"/>
                <w:sz w:val="18"/>
                <w:u w:val="none"/>
              </w:rPr>
              <w:t>QoE</w:t>
            </w:r>
            <w:proofErr w:type="spellEnd"/>
            <w:r w:rsidRPr="00776AF6">
              <w:rPr>
                <w:rStyle w:val="15"/>
                <w:rFonts w:ascii="Calibri" w:hAnsi="Calibri" w:cs="Calibri"/>
                <w:b/>
                <w:color w:val="008000"/>
                <w:sz w:val="18"/>
                <w:u w:val="none"/>
              </w:rPr>
              <w:t xml:space="preserve"> reports via the </w:t>
            </w:r>
            <w:proofErr w:type="spellStart"/>
            <w:r w:rsidRPr="00776AF6">
              <w:rPr>
                <w:rStyle w:val="15"/>
                <w:rFonts w:ascii="Calibri" w:hAnsi="Calibri" w:cs="Calibri"/>
                <w:b/>
                <w:color w:val="008000"/>
                <w:sz w:val="18"/>
                <w:u w:val="none"/>
              </w:rPr>
              <w:t>Uu</w:t>
            </w:r>
            <w:proofErr w:type="spellEnd"/>
            <w:r w:rsidRPr="00776AF6">
              <w:rPr>
                <w:rStyle w:val="15"/>
                <w:rFonts w:ascii="Calibri" w:hAnsi="Calibri" w:cs="Calibri"/>
                <w:b/>
                <w:color w:val="008000"/>
                <w:sz w:val="18"/>
                <w:u w:val="none"/>
              </w:rPr>
              <w:t xml:space="preserve"> can send a request to the peer node, asking that the </w:t>
            </w:r>
            <w:proofErr w:type="spellStart"/>
            <w:r w:rsidRPr="00776AF6">
              <w:rPr>
                <w:rStyle w:val="15"/>
                <w:rFonts w:ascii="Calibri" w:hAnsi="Calibri" w:cs="Calibri"/>
                <w:b/>
                <w:color w:val="008000"/>
                <w:sz w:val="18"/>
                <w:u w:val="none"/>
              </w:rPr>
              <w:t>QoE</w:t>
            </w:r>
            <w:proofErr w:type="spellEnd"/>
            <w:r w:rsidRPr="00776AF6">
              <w:rPr>
                <w:rStyle w:val="15"/>
                <w:rFonts w:ascii="Calibri" w:hAnsi="Calibri" w:cs="Calibri"/>
                <w:b/>
                <w:color w:val="008000"/>
                <w:sz w:val="18"/>
                <w:u w:val="none"/>
              </w:rPr>
              <w:t xml:space="preserve"> reporting leg is switched to the peer node.</w:t>
            </w:r>
          </w:p>
          <w:p w14:paraId="56DFD66A" w14:textId="77777777" w:rsidR="009B01C6" w:rsidRDefault="009B01C6" w:rsidP="009B01C6">
            <w:pPr>
              <w:spacing w:before="120" w:after="0"/>
              <w:rPr>
                <w:rStyle w:val="15"/>
                <w:rFonts w:ascii="Calibri" w:hAnsi="Calibri" w:cs="Calibri"/>
                <w:b/>
                <w:color w:val="008000"/>
                <w:sz w:val="18"/>
                <w:u w:val="none"/>
              </w:rPr>
            </w:pPr>
            <w:r w:rsidRPr="00776AF6">
              <w:rPr>
                <w:rStyle w:val="15"/>
                <w:rFonts w:ascii="Calibri" w:hAnsi="Calibri" w:cs="Calibri"/>
                <w:b/>
                <w:color w:val="008000"/>
                <w:sz w:val="18"/>
                <w:u w:val="none"/>
              </w:rPr>
              <w:t xml:space="preserve">The leg switch for </w:t>
            </w:r>
            <w:proofErr w:type="spellStart"/>
            <w:r w:rsidRPr="00776AF6">
              <w:rPr>
                <w:rStyle w:val="15"/>
                <w:rFonts w:ascii="Calibri" w:hAnsi="Calibri" w:cs="Calibri"/>
                <w:b/>
                <w:color w:val="008000"/>
                <w:sz w:val="18"/>
                <w:u w:val="none"/>
              </w:rPr>
              <w:t>QoE</w:t>
            </w:r>
            <w:proofErr w:type="spellEnd"/>
            <w:r w:rsidRPr="00776AF6">
              <w:rPr>
                <w:rStyle w:val="15"/>
                <w:rFonts w:ascii="Calibri" w:hAnsi="Calibri" w:cs="Calibri"/>
                <w:b/>
                <w:color w:val="008000"/>
                <w:sz w:val="18"/>
                <w:u w:val="none"/>
              </w:rPr>
              <w:t xml:space="preserve"> reporting needs to be approved by both nodes serving the UE.</w:t>
            </w:r>
          </w:p>
          <w:p w14:paraId="5EDA20DE" w14:textId="692C06C1" w:rsidR="00776AF6" w:rsidRPr="00776AF6" w:rsidRDefault="00776AF6" w:rsidP="009B01C6">
            <w:pPr>
              <w:spacing w:before="120" w:after="0"/>
              <w:rPr>
                <w:rFonts w:ascii="Calibri" w:hAnsi="Calibri" w:cs="Calibri"/>
                <w:b/>
                <w:color w:val="008000"/>
                <w:sz w:val="18"/>
              </w:rPr>
            </w:pPr>
            <w:r w:rsidRPr="00776AF6">
              <w:rPr>
                <w:rStyle w:val="15"/>
                <w:rFonts w:ascii="Calibri" w:hAnsi="Calibri" w:cs="Calibri"/>
                <w:b/>
                <w:color w:val="008000"/>
                <w:sz w:val="18"/>
                <w:u w:val="none"/>
              </w:rPr>
              <w:t>…</w:t>
            </w:r>
          </w:p>
          <w:p w14:paraId="158132A2" w14:textId="77777777" w:rsidR="00776AF6" w:rsidRPr="00776AF6" w:rsidRDefault="00776AF6" w:rsidP="00776AF6">
            <w:pPr>
              <w:spacing w:before="120" w:after="0"/>
              <w:rPr>
                <w:rFonts w:ascii="Calibri" w:hAnsi="Calibri" w:cs="Calibri"/>
                <w:b/>
                <w:color w:val="008000"/>
                <w:sz w:val="18"/>
              </w:rPr>
            </w:pPr>
            <w:r w:rsidRPr="00776AF6">
              <w:rPr>
                <w:rStyle w:val="15"/>
                <w:rFonts w:ascii="Calibri" w:hAnsi="Calibri" w:cs="Calibri"/>
                <w:b/>
                <w:color w:val="008000"/>
                <w:sz w:val="18"/>
                <w:u w:val="none"/>
              </w:rPr>
              <w:t xml:space="preserve">Consider the </w:t>
            </w:r>
            <w:proofErr w:type="spellStart"/>
            <w:r w:rsidRPr="00776AF6">
              <w:rPr>
                <w:rStyle w:val="15"/>
                <w:rFonts w:ascii="Calibri" w:hAnsi="Calibri" w:cs="Calibri"/>
                <w:b/>
                <w:color w:val="008000"/>
                <w:sz w:val="18"/>
                <w:u w:val="none"/>
              </w:rPr>
              <w:t>QoE</w:t>
            </w:r>
            <w:proofErr w:type="spellEnd"/>
            <w:r w:rsidRPr="00776AF6">
              <w:rPr>
                <w:rStyle w:val="15"/>
                <w:rFonts w:ascii="Calibri" w:hAnsi="Calibri" w:cs="Calibri"/>
                <w:b/>
                <w:color w:val="008000"/>
                <w:sz w:val="18"/>
                <w:u w:val="none"/>
              </w:rPr>
              <w:t xml:space="preserve"> measurement reporting for NR-DC in following scenarios:</w:t>
            </w:r>
          </w:p>
          <w:p w14:paraId="18801C17" w14:textId="77777777" w:rsidR="00776AF6" w:rsidRPr="00776AF6" w:rsidRDefault="00776AF6" w:rsidP="00776AF6">
            <w:pPr>
              <w:spacing w:before="120" w:after="0"/>
              <w:rPr>
                <w:rFonts w:ascii="Calibri" w:hAnsi="Calibri" w:cs="Calibri"/>
                <w:b/>
                <w:color w:val="008000"/>
                <w:sz w:val="18"/>
              </w:rPr>
            </w:pPr>
            <w:r w:rsidRPr="00776AF6">
              <w:rPr>
                <w:rStyle w:val="15"/>
                <w:rFonts w:ascii="Calibri" w:hAnsi="Calibri" w:cs="Calibri"/>
                <w:b/>
                <w:color w:val="008000"/>
                <w:sz w:val="18"/>
                <w:u w:val="none"/>
              </w:rPr>
              <w:t>SCG failure scenario.</w:t>
            </w:r>
          </w:p>
          <w:p w14:paraId="05C24A6B" w14:textId="77777777" w:rsidR="00776AF6" w:rsidRPr="00776AF6" w:rsidRDefault="00776AF6" w:rsidP="00776AF6">
            <w:pPr>
              <w:spacing w:before="120" w:after="0"/>
              <w:rPr>
                <w:rFonts w:ascii="Calibri" w:hAnsi="Calibri" w:cs="Calibri"/>
                <w:b/>
                <w:color w:val="008000"/>
                <w:sz w:val="18"/>
              </w:rPr>
            </w:pPr>
            <w:r w:rsidRPr="00776AF6">
              <w:rPr>
                <w:rStyle w:val="15"/>
                <w:rFonts w:ascii="Calibri" w:hAnsi="Calibri" w:cs="Calibri"/>
                <w:b/>
                <w:color w:val="008000"/>
                <w:sz w:val="18"/>
                <w:u w:val="none"/>
              </w:rPr>
              <w:t>SN release scenario.</w:t>
            </w:r>
          </w:p>
          <w:p w14:paraId="09AD96DC" w14:textId="77777777" w:rsidR="00776AF6" w:rsidRPr="00776AF6" w:rsidRDefault="00776AF6" w:rsidP="00776AF6">
            <w:pPr>
              <w:spacing w:before="120" w:after="0"/>
              <w:rPr>
                <w:rFonts w:ascii="Calibri" w:hAnsi="Calibri" w:cs="Calibri"/>
                <w:b/>
                <w:color w:val="008000"/>
                <w:sz w:val="18"/>
              </w:rPr>
            </w:pPr>
            <w:r w:rsidRPr="00776AF6">
              <w:rPr>
                <w:rStyle w:val="15"/>
                <w:rFonts w:ascii="Calibri" w:hAnsi="Calibri" w:cs="Calibri"/>
                <w:b/>
                <w:color w:val="008000"/>
                <w:sz w:val="18"/>
                <w:u w:val="none"/>
              </w:rPr>
              <w:t>RAN overload scenario.</w:t>
            </w:r>
            <w:r w:rsidRPr="00776AF6">
              <w:rPr>
                <w:rFonts w:ascii="Calibri" w:hAnsi="Calibri" w:cs="Calibri"/>
                <w:b/>
                <w:color w:val="008000"/>
                <w:sz w:val="18"/>
              </w:rPr>
              <w:t xml:space="preserve"> </w:t>
            </w:r>
          </w:p>
          <w:p w14:paraId="63811AEF" w14:textId="77777777" w:rsidR="00776AF6" w:rsidRPr="00776AF6" w:rsidRDefault="00776AF6" w:rsidP="00776AF6">
            <w:pPr>
              <w:spacing w:before="120" w:after="0"/>
              <w:rPr>
                <w:rFonts w:ascii="Calibri" w:hAnsi="Calibri" w:cs="Calibri"/>
                <w:b/>
                <w:color w:val="008000"/>
                <w:sz w:val="18"/>
              </w:rPr>
            </w:pPr>
            <w:r w:rsidRPr="00776AF6">
              <w:rPr>
                <w:rStyle w:val="15"/>
                <w:rFonts w:ascii="Calibri" w:hAnsi="Calibri" w:cs="Calibri"/>
                <w:b/>
                <w:color w:val="008000"/>
                <w:sz w:val="18"/>
                <w:u w:val="none"/>
              </w:rPr>
              <w:t>QMC continuity during mobility in NR-DC should be discussed after the baseline solution for QMC in NR-DC is in place.</w:t>
            </w:r>
          </w:p>
          <w:p w14:paraId="3D8F8A45" w14:textId="77777777" w:rsidR="009B01C6" w:rsidRPr="009B01C6" w:rsidRDefault="009B01C6" w:rsidP="009B0746">
            <w:pPr>
              <w:jc w:val="both"/>
              <w:rPr>
                <w:iCs/>
              </w:rPr>
            </w:pPr>
          </w:p>
        </w:tc>
      </w:tr>
    </w:tbl>
    <w:p w14:paraId="60670DF1" w14:textId="77777777" w:rsidR="009B01C6" w:rsidRDefault="009B01C6" w:rsidP="009B0746">
      <w:pPr>
        <w:jc w:val="both"/>
        <w:rPr>
          <w:iCs/>
          <w:lang w:val="en-US"/>
        </w:rPr>
      </w:pPr>
    </w:p>
    <w:p w14:paraId="36DD8C74" w14:textId="3DA52809" w:rsidR="00776AF6" w:rsidRDefault="00776AF6" w:rsidP="009B0746">
      <w:pPr>
        <w:jc w:val="both"/>
        <w:rPr>
          <w:iCs/>
          <w:lang w:val="en-US"/>
        </w:rPr>
      </w:pPr>
      <w:r>
        <w:rPr>
          <w:iCs/>
          <w:lang w:val="en-US"/>
        </w:rPr>
        <w:t>From our perspective, “switching” of the reporting leg for an application layer measurement configuration requires two actions at the UE:</w:t>
      </w:r>
    </w:p>
    <w:p w14:paraId="0E4ED790" w14:textId="711B5CA8" w:rsidR="00776AF6" w:rsidRDefault="00776AF6" w:rsidP="00776AF6">
      <w:pPr>
        <w:pStyle w:val="ListParagraph"/>
        <w:numPr>
          <w:ilvl w:val="0"/>
          <w:numId w:val="31"/>
        </w:numPr>
        <w:jc w:val="both"/>
        <w:rPr>
          <w:iCs/>
          <w:lang w:val="en-US"/>
        </w:rPr>
      </w:pPr>
      <w:r>
        <w:rPr>
          <w:iCs/>
          <w:lang w:val="en-US"/>
        </w:rPr>
        <w:t xml:space="preserve">Pause </w:t>
      </w:r>
      <w:proofErr w:type="spellStart"/>
      <w:r>
        <w:rPr>
          <w:iCs/>
          <w:lang w:val="en-US"/>
        </w:rPr>
        <w:t>QoE</w:t>
      </w:r>
      <w:proofErr w:type="spellEnd"/>
      <w:r>
        <w:rPr>
          <w:iCs/>
          <w:lang w:val="en-US"/>
        </w:rPr>
        <w:t xml:space="preserve"> reporting on the SRB that is currently used by the UE for </w:t>
      </w:r>
      <w:r w:rsidR="00E31B75">
        <w:rPr>
          <w:iCs/>
          <w:lang w:val="en-US"/>
        </w:rPr>
        <w:t>this</w:t>
      </w:r>
      <w:r>
        <w:rPr>
          <w:iCs/>
          <w:lang w:val="en-US"/>
        </w:rPr>
        <w:t xml:space="preserve"> application layer measurement configuration.</w:t>
      </w:r>
    </w:p>
    <w:p w14:paraId="2C5136F4" w14:textId="545BDB94" w:rsidR="00776AF6" w:rsidRDefault="00E31B75" w:rsidP="00776AF6">
      <w:pPr>
        <w:pStyle w:val="ListParagraph"/>
        <w:numPr>
          <w:ilvl w:val="0"/>
          <w:numId w:val="31"/>
        </w:numPr>
        <w:jc w:val="both"/>
        <w:rPr>
          <w:iCs/>
          <w:lang w:val="en-US"/>
        </w:rPr>
      </w:pPr>
      <w:r>
        <w:rPr>
          <w:iCs/>
          <w:lang w:val="en-US"/>
        </w:rPr>
        <w:t xml:space="preserve">Start </w:t>
      </w:r>
      <w:proofErr w:type="spellStart"/>
      <w:r>
        <w:rPr>
          <w:iCs/>
          <w:lang w:val="en-US"/>
        </w:rPr>
        <w:t>QoE</w:t>
      </w:r>
      <w:proofErr w:type="spellEnd"/>
      <w:r>
        <w:rPr>
          <w:iCs/>
          <w:lang w:val="en-US"/>
        </w:rPr>
        <w:t xml:space="preserve"> reporting on another SRB that is currently </w:t>
      </w:r>
      <w:r w:rsidRPr="00E31B75">
        <w:rPr>
          <w:b/>
          <w:bCs/>
          <w:iCs/>
          <w:lang w:val="en-US"/>
        </w:rPr>
        <w:t xml:space="preserve">not </w:t>
      </w:r>
      <w:r>
        <w:rPr>
          <w:iCs/>
          <w:lang w:val="en-US"/>
        </w:rPr>
        <w:t>used by the UE for this application layer measurement configuration.</w:t>
      </w:r>
    </w:p>
    <w:p w14:paraId="1CF77B80" w14:textId="7B8C144C" w:rsidR="00E31B75" w:rsidRDefault="00E31B75" w:rsidP="00E31B75">
      <w:pPr>
        <w:jc w:val="both"/>
        <w:rPr>
          <w:iCs/>
          <w:lang w:val="en-US"/>
        </w:rPr>
      </w:pPr>
      <w:r>
        <w:rPr>
          <w:iCs/>
          <w:lang w:val="en-US"/>
        </w:rPr>
        <w:t xml:space="preserve">In other words, SRB switching is more like an extension of “pause”. The only difference is whether the UE should continue the </w:t>
      </w:r>
      <w:proofErr w:type="spellStart"/>
      <w:r>
        <w:rPr>
          <w:iCs/>
          <w:lang w:val="en-US"/>
        </w:rPr>
        <w:t>QoE</w:t>
      </w:r>
      <w:proofErr w:type="spellEnd"/>
      <w:r>
        <w:rPr>
          <w:iCs/>
          <w:lang w:val="en-US"/>
        </w:rPr>
        <w:t xml:space="preserve"> reporting on another SRB when it is paused. </w:t>
      </w:r>
      <w:r w:rsidR="00DC7CAC">
        <w:rPr>
          <w:iCs/>
          <w:lang w:val="en-US"/>
        </w:rPr>
        <w:t>The</w:t>
      </w:r>
      <w:r>
        <w:rPr>
          <w:iCs/>
          <w:lang w:val="en-US"/>
        </w:rPr>
        <w:t xml:space="preserve"> “Pause” of </w:t>
      </w:r>
      <w:proofErr w:type="spellStart"/>
      <w:r>
        <w:rPr>
          <w:iCs/>
          <w:lang w:val="en-US"/>
        </w:rPr>
        <w:t>QoE</w:t>
      </w:r>
      <w:proofErr w:type="spellEnd"/>
      <w:r>
        <w:rPr>
          <w:iCs/>
          <w:lang w:val="en-US"/>
        </w:rPr>
        <w:t xml:space="preserve"> reporting was introduced in Rel-17 to handle RAN overload situations</w:t>
      </w:r>
      <w:r w:rsidR="00DC7CAC">
        <w:rPr>
          <w:iCs/>
          <w:lang w:val="en-US"/>
        </w:rPr>
        <w:t>, and we think this is also one of the main motivations of leg switching</w:t>
      </w:r>
      <w:r>
        <w:rPr>
          <w:iCs/>
          <w:lang w:val="en-US"/>
        </w:rPr>
        <w:t xml:space="preserve">. </w:t>
      </w:r>
      <w:r w:rsidR="00DC7CAC">
        <w:rPr>
          <w:iCs/>
          <w:lang w:val="en-US"/>
        </w:rPr>
        <w:t xml:space="preserve">For instance, the UE can </w:t>
      </w:r>
      <w:r w:rsidR="002B5CE7">
        <w:rPr>
          <w:iCs/>
          <w:lang w:val="en-US"/>
        </w:rPr>
        <w:t xml:space="preserve">be instructed to </w:t>
      </w:r>
      <w:r w:rsidR="00DC7CAC">
        <w:rPr>
          <w:iCs/>
          <w:lang w:val="en-US"/>
        </w:rPr>
        <w:t xml:space="preserve">switch to SCG leg </w:t>
      </w:r>
      <w:r w:rsidR="002B5CE7">
        <w:rPr>
          <w:iCs/>
          <w:lang w:val="en-US"/>
        </w:rPr>
        <w:t xml:space="preserve">for </w:t>
      </w:r>
      <w:proofErr w:type="spellStart"/>
      <w:r w:rsidR="002B5CE7">
        <w:rPr>
          <w:iCs/>
          <w:lang w:val="en-US"/>
        </w:rPr>
        <w:t>QoE</w:t>
      </w:r>
      <w:proofErr w:type="spellEnd"/>
      <w:r w:rsidR="002B5CE7">
        <w:rPr>
          <w:iCs/>
          <w:lang w:val="en-US"/>
        </w:rPr>
        <w:t xml:space="preserve"> reporting </w:t>
      </w:r>
      <w:r w:rsidR="00DC7CAC">
        <w:rPr>
          <w:iCs/>
          <w:lang w:val="en-US"/>
        </w:rPr>
        <w:t xml:space="preserve">when the MN is overloaded. </w:t>
      </w:r>
      <w:r>
        <w:rPr>
          <w:iCs/>
          <w:lang w:val="en-US"/>
        </w:rPr>
        <w:t xml:space="preserve">Thus, depending on whether only one </w:t>
      </w:r>
      <w:proofErr w:type="spellStart"/>
      <w:r>
        <w:rPr>
          <w:iCs/>
          <w:lang w:val="en-US"/>
        </w:rPr>
        <w:t>gNB</w:t>
      </w:r>
      <w:proofErr w:type="spellEnd"/>
      <w:r>
        <w:rPr>
          <w:iCs/>
          <w:lang w:val="en-US"/>
        </w:rPr>
        <w:t xml:space="preserve"> is overloaded or both </w:t>
      </w:r>
      <w:proofErr w:type="spellStart"/>
      <w:r>
        <w:rPr>
          <w:iCs/>
          <w:lang w:val="en-US"/>
        </w:rPr>
        <w:t>gNBs</w:t>
      </w:r>
      <w:proofErr w:type="spellEnd"/>
      <w:r>
        <w:rPr>
          <w:iCs/>
          <w:lang w:val="en-US"/>
        </w:rPr>
        <w:t xml:space="preserve"> are overloaded, the network </w:t>
      </w:r>
      <w:proofErr w:type="gramStart"/>
      <w:r>
        <w:rPr>
          <w:iCs/>
          <w:lang w:val="en-US"/>
        </w:rPr>
        <w:t>is able to</w:t>
      </w:r>
      <w:proofErr w:type="gramEnd"/>
      <w:r>
        <w:rPr>
          <w:iCs/>
          <w:lang w:val="en-US"/>
        </w:rPr>
        <w:t xml:space="preserve"> decide if the UE should pause </w:t>
      </w:r>
      <w:proofErr w:type="spellStart"/>
      <w:r>
        <w:rPr>
          <w:iCs/>
          <w:lang w:val="en-US"/>
        </w:rPr>
        <w:t>QoE</w:t>
      </w:r>
      <w:proofErr w:type="spellEnd"/>
      <w:r>
        <w:rPr>
          <w:iCs/>
          <w:lang w:val="en-US"/>
        </w:rPr>
        <w:t xml:space="preserve"> reporting entirely</w:t>
      </w:r>
      <w:r w:rsidR="00F312C1">
        <w:rPr>
          <w:iCs/>
          <w:lang w:val="en-US"/>
        </w:rPr>
        <w:t xml:space="preserve"> (as in Rel-17)</w:t>
      </w:r>
      <w:r>
        <w:rPr>
          <w:iCs/>
          <w:lang w:val="en-US"/>
        </w:rPr>
        <w:t xml:space="preserve">, or it can continue to report </w:t>
      </w:r>
      <w:proofErr w:type="spellStart"/>
      <w:r>
        <w:rPr>
          <w:iCs/>
          <w:lang w:val="en-US"/>
        </w:rPr>
        <w:t>QoE</w:t>
      </w:r>
      <w:proofErr w:type="spellEnd"/>
      <w:r>
        <w:rPr>
          <w:iCs/>
          <w:lang w:val="en-US"/>
        </w:rPr>
        <w:t xml:space="preserve"> using another SRB. </w:t>
      </w:r>
      <w:proofErr w:type="gramStart"/>
      <w:r>
        <w:rPr>
          <w:iCs/>
          <w:lang w:val="en-US"/>
        </w:rPr>
        <w:t>In light of</w:t>
      </w:r>
      <w:proofErr w:type="gramEnd"/>
      <w:r>
        <w:rPr>
          <w:iCs/>
          <w:lang w:val="en-US"/>
        </w:rPr>
        <w:t xml:space="preserve"> this, we think </w:t>
      </w:r>
      <w:r w:rsidR="00060B54">
        <w:rPr>
          <w:iCs/>
          <w:lang w:val="en-US"/>
        </w:rPr>
        <w:t xml:space="preserve">the field of </w:t>
      </w:r>
      <w:proofErr w:type="spellStart"/>
      <w:r w:rsidR="00060B54" w:rsidRPr="00060B54">
        <w:rPr>
          <w:i/>
          <w:lang w:val="en-US"/>
        </w:rPr>
        <w:t>pauseReporting</w:t>
      </w:r>
      <w:proofErr w:type="spellEnd"/>
      <w:r w:rsidR="00060B54">
        <w:rPr>
          <w:iCs/>
          <w:lang w:val="en-US"/>
        </w:rPr>
        <w:t xml:space="preserve"> in the IE of </w:t>
      </w:r>
      <w:proofErr w:type="spellStart"/>
      <w:r w:rsidR="00060B54" w:rsidRPr="00060B54">
        <w:rPr>
          <w:i/>
          <w:lang w:val="en-US"/>
        </w:rPr>
        <w:t>AppLayerMeasConfig</w:t>
      </w:r>
      <w:proofErr w:type="spellEnd"/>
      <w:r w:rsidR="00060B54">
        <w:rPr>
          <w:iCs/>
          <w:lang w:val="en-US"/>
        </w:rPr>
        <w:t xml:space="preserve"> can be modified to extend its functionality. More specifically, the </w:t>
      </w:r>
      <w:proofErr w:type="spellStart"/>
      <w:r w:rsidR="00060B54">
        <w:rPr>
          <w:iCs/>
          <w:lang w:val="en-US"/>
        </w:rPr>
        <w:t>gNB</w:t>
      </w:r>
      <w:proofErr w:type="spellEnd"/>
      <w:r w:rsidR="00060B54">
        <w:rPr>
          <w:iCs/>
          <w:lang w:val="en-US"/>
        </w:rPr>
        <w:t xml:space="preserve"> can use </w:t>
      </w:r>
      <w:proofErr w:type="spellStart"/>
      <w:r w:rsidR="00060B54" w:rsidRPr="00060B54">
        <w:rPr>
          <w:i/>
          <w:lang w:val="en-US"/>
        </w:rPr>
        <w:t>pauseReporting</w:t>
      </w:r>
      <w:proofErr w:type="spellEnd"/>
      <w:r w:rsidR="00060B54">
        <w:rPr>
          <w:iCs/>
          <w:lang w:val="en-US"/>
        </w:rPr>
        <w:t xml:space="preserve"> to instruct the UE to either pause </w:t>
      </w:r>
      <w:proofErr w:type="spellStart"/>
      <w:r w:rsidR="00060B54">
        <w:rPr>
          <w:iCs/>
          <w:lang w:val="en-US"/>
        </w:rPr>
        <w:t>QoE</w:t>
      </w:r>
      <w:proofErr w:type="spellEnd"/>
      <w:r w:rsidR="00060B54">
        <w:rPr>
          <w:iCs/>
          <w:lang w:val="en-US"/>
        </w:rPr>
        <w:t xml:space="preserve"> reporting entirely</w:t>
      </w:r>
      <w:r w:rsidR="002B5CE7">
        <w:rPr>
          <w:iCs/>
          <w:lang w:val="en-US"/>
        </w:rPr>
        <w:t xml:space="preserve"> like in Rel-17</w:t>
      </w:r>
      <w:r w:rsidR="00060B54">
        <w:rPr>
          <w:iCs/>
          <w:lang w:val="en-US"/>
        </w:rPr>
        <w:t>, or it should continue the reporting using another SRB (</w:t>
      </w:r>
      <w:proofErr w:type="gramStart"/>
      <w:r w:rsidR="00060B54">
        <w:rPr>
          <w:iCs/>
          <w:lang w:val="en-US"/>
        </w:rPr>
        <w:t>i.e.</w:t>
      </w:r>
      <w:proofErr w:type="gramEnd"/>
      <w:r w:rsidR="00060B54">
        <w:rPr>
          <w:iCs/>
          <w:lang w:val="en-US"/>
        </w:rPr>
        <w:t xml:space="preserve"> switching).</w:t>
      </w:r>
    </w:p>
    <w:p w14:paraId="010795AD" w14:textId="0E8ADA4B" w:rsidR="00060B54" w:rsidRDefault="00060B54" w:rsidP="00E31B75">
      <w:pPr>
        <w:jc w:val="both"/>
        <w:rPr>
          <w:iCs/>
          <w:lang w:val="en-US"/>
        </w:rPr>
      </w:pPr>
      <w:r>
        <w:rPr>
          <w:iCs/>
          <w:lang w:val="en-US"/>
        </w:rPr>
        <w:t>According to Rel-17</w:t>
      </w:r>
      <w:r w:rsidR="002B5CE7">
        <w:rPr>
          <w:iCs/>
          <w:lang w:val="en-US"/>
        </w:rPr>
        <w:t xml:space="preserve"> specifications</w:t>
      </w:r>
      <w:r>
        <w:rPr>
          <w:iCs/>
          <w:lang w:val="en-US"/>
        </w:rPr>
        <w:t xml:space="preserve">, the UE should continue to report </w:t>
      </w:r>
      <w:proofErr w:type="spellStart"/>
      <w:r>
        <w:rPr>
          <w:iCs/>
          <w:lang w:val="en-US"/>
        </w:rPr>
        <w:t>RVQoE</w:t>
      </w:r>
      <w:proofErr w:type="spellEnd"/>
      <w:r>
        <w:rPr>
          <w:iCs/>
          <w:lang w:val="en-US"/>
        </w:rPr>
        <w:t xml:space="preserve"> when the </w:t>
      </w:r>
      <w:proofErr w:type="spellStart"/>
      <w:r>
        <w:rPr>
          <w:iCs/>
          <w:lang w:val="en-US"/>
        </w:rPr>
        <w:t>QoE</w:t>
      </w:r>
      <w:proofErr w:type="spellEnd"/>
      <w:r>
        <w:rPr>
          <w:iCs/>
          <w:lang w:val="en-US"/>
        </w:rPr>
        <w:t xml:space="preserve"> reporting is paused (since </w:t>
      </w:r>
      <w:proofErr w:type="spellStart"/>
      <w:r>
        <w:rPr>
          <w:iCs/>
          <w:lang w:val="en-US"/>
        </w:rPr>
        <w:t>RVQoE</w:t>
      </w:r>
      <w:proofErr w:type="spellEnd"/>
      <w:r>
        <w:rPr>
          <w:iCs/>
          <w:lang w:val="en-US"/>
        </w:rPr>
        <w:t xml:space="preserve"> may still be useful for the RAN to handle the overload scenarios). Therefore, if the UE is asked to pause </w:t>
      </w:r>
      <w:proofErr w:type="spellStart"/>
      <w:r>
        <w:rPr>
          <w:iCs/>
          <w:lang w:val="en-US"/>
        </w:rPr>
        <w:t>QoE</w:t>
      </w:r>
      <w:proofErr w:type="spellEnd"/>
      <w:r>
        <w:rPr>
          <w:iCs/>
          <w:lang w:val="en-US"/>
        </w:rPr>
        <w:t xml:space="preserve"> reporting on one SRB and switch it to another SRB, </w:t>
      </w:r>
      <w:r w:rsidR="00D3600C">
        <w:rPr>
          <w:iCs/>
          <w:lang w:val="en-US"/>
        </w:rPr>
        <w:t xml:space="preserve">there </w:t>
      </w:r>
      <w:r w:rsidR="002B5CE7">
        <w:rPr>
          <w:iCs/>
          <w:lang w:val="en-US"/>
        </w:rPr>
        <w:t xml:space="preserve">may be </w:t>
      </w:r>
      <w:r w:rsidR="00D3600C">
        <w:rPr>
          <w:iCs/>
          <w:lang w:val="en-US"/>
        </w:rPr>
        <w:t>some ambiguities</w:t>
      </w:r>
      <w:r>
        <w:rPr>
          <w:iCs/>
          <w:lang w:val="en-US"/>
        </w:rPr>
        <w:t xml:space="preserve"> about where the UE should report the </w:t>
      </w:r>
      <w:proofErr w:type="spellStart"/>
      <w:r>
        <w:rPr>
          <w:iCs/>
          <w:lang w:val="en-US"/>
        </w:rPr>
        <w:t>RVQoE</w:t>
      </w:r>
      <w:proofErr w:type="spellEnd"/>
      <w:r>
        <w:rPr>
          <w:iCs/>
          <w:lang w:val="en-US"/>
        </w:rPr>
        <w:t xml:space="preserve">. In one option, the UE can always report </w:t>
      </w:r>
      <w:proofErr w:type="spellStart"/>
      <w:r>
        <w:rPr>
          <w:iCs/>
          <w:lang w:val="en-US"/>
        </w:rPr>
        <w:t>RVQoE</w:t>
      </w:r>
      <w:proofErr w:type="spellEnd"/>
      <w:r>
        <w:rPr>
          <w:iCs/>
          <w:lang w:val="en-US"/>
        </w:rPr>
        <w:t xml:space="preserve"> on the SRB associating to the node the configures this application layer measurement configuration (</w:t>
      </w:r>
      <w:proofErr w:type="gramStart"/>
      <w:r>
        <w:rPr>
          <w:iCs/>
          <w:lang w:val="en-US"/>
        </w:rPr>
        <w:t>i.e.</w:t>
      </w:r>
      <w:proofErr w:type="gramEnd"/>
      <w:r>
        <w:rPr>
          <w:iCs/>
          <w:lang w:val="en-US"/>
        </w:rPr>
        <w:t xml:space="preserve"> </w:t>
      </w:r>
      <w:proofErr w:type="spellStart"/>
      <w:r>
        <w:rPr>
          <w:iCs/>
          <w:lang w:val="en-US"/>
        </w:rPr>
        <w:t>RVQoE</w:t>
      </w:r>
      <w:proofErr w:type="spellEnd"/>
      <w:r>
        <w:rPr>
          <w:iCs/>
          <w:lang w:val="en-US"/>
        </w:rPr>
        <w:t xml:space="preserve"> is not affected by switching). In another option, the </w:t>
      </w:r>
      <w:proofErr w:type="spellStart"/>
      <w:r>
        <w:rPr>
          <w:iCs/>
          <w:lang w:val="en-US"/>
        </w:rPr>
        <w:t>RVQoE</w:t>
      </w:r>
      <w:proofErr w:type="spellEnd"/>
      <w:r>
        <w:rPr>
          <w:iCs/>
          <w:lang w:val="en-US"/>
        </w:rPr>
        <w:t xml:space="preserve"> will be switched together with encapsulated </w:t>
      </w:r>
      <w:proofErr w:type="spellStart"/>
      <w:r>
        <w:rPr>
          <w:iCs/>
          <w:lang w:val="en-US"/>
        </w:rPr>
        <w:t>QoE</w:t>
      </w:r>
      <w:proofErr w:type="spellEnd"/>
      <w:r>
        <w:rPr>
          <w:iCs/>
          <w:lang w:val="en-US"/>
        </w:rPr>
        <w:t xml:space="preserve"> reporting. We think both options are possible </w:t>
      </w:r>
      <w:r w:rsidR="00D3600C">
        <w:rPr>
          <w:iCs/>
          <w:lang w:val="en-US"/>
        </w:rPr>
        <w:t xml:space="preserve">based on the following </w:t>
      </w:r>
      <w:r w:rsidR="00DC7CAC">
        <w:rPr>
          <w:iCs/>
          <w:lang w:val="en-US"/>
        </w:rPr>
        <w:t xml:space="preserve">RAN3 </w:t>
      </w:r>
      <w:r w:rsidR="00D3600C">
        <w:rPr>
          <w:iCs/>
          <w:lang w:val="en-US"/>
        </w:rPr>
        <w:t>agreement</w:t>
      </w:r>
      <w:r w:rsidR="00DC7CAC">
        <w:rPr>
          <w:iCs/>
          <w:lang w:val="en-US"/>
        </w:rPr>
        <w:t>s</w:t>
      </w:r>
      <w:r w:rsidR="00D3600C">
        <w:rPr>
          <w:iCs/>
          <w:lang w:val="en-US"/>
        </w:rPr>
        <w:t>:</w:t>
      </w:r>
    </w:p>
    <w:tbl>
      <w:tblPr>
        <w:tblStyle w:val="TableGrid"/>
        <w:tblW w:w="0" w:type="auto"/>
        <w:tblLook w:val="04A0" w:firstRow="1" w:lastRow="0" w:firstColumn="1" w:lastColumn="0" w:noHBand="0" w:noVBand="1"/>
      </w:tblPr>
      <w:tblGrid>
        <w:gridCol w:w="9350"/>
      </w:tblGrid>
      <w:tr w:rsidR="00D3600C" w14:paraId="7BE80A90" w14:textId="77777777" w:rsidTr="00D3600C">
        <w:tc>
          <w:tcPr>
            <w:tcW w:w="9350" w:type="dxa"/>
          </w:tcPr>
          <w:p w14:paraId="15726220" w14:textId="77777777" w:rsidR="00D3600C" w:rsidRPr="00D3600C" w:rsidRDefault="00D3600C" w:rsidP="00D3600C">
            <w:pPr>
              <w:spacing w:before="120" w:after="0"/>
              <w:rPr>
                <w:rFonts w:ascii="Calibri" w:hAnsi="Calibri" w:cs="Calibri"/>
                <w:b/>
                <w:color w:val="008000"/>
                <w:sz w:val="18"/>
              </w:rPr>
            </w:pPr>
            <w:r w:rsidRPr="00D3600C">
              <w:rPr>
                <w:rStyle w:val="15"/>
                <w:rFonts w:ascii="Calibri" w:hAnsi="Calibri" w:cs="Calibri"/>
                <w:b/>
                <w:color w:val="008000"/>
                <w:sz w:val="18"/>
                <w:u w:val="none"/>
              </w:rPr>
              <w:t xml:space="preserve">As the baseline, </w:t>
            </w:r>
            <w:proofErr w:type="spellStart"/>
            <w:r w:rsidRPr="00D3600C">
              <w:rPr>
                <w:rStyle w:val="15"/>
                <w:rFonts w:ascii="Calibri" w:hAnsi="Calibri" w:cs="Calibri"/>
                <w:b/>
                <w:color w:val="008000"/>
                <w:sz w:val="18"/>
                <w:u w:val="none"/>
              </w:rPr>
              <w:t>QoE</w:t>
            </w:r>
            <w:proofErr w:type="spellEnd"/>
            <w:r w:rsidRPr="00D3600C">
              <w:rPr>
                <w:rStyle w:val="15"/>
                <w:rFonts w:ascii="Calibri" w:hAnsi="Calibri" w:cs="Calibri"/>
                <w:b/>
                <w:color w:val="008000"/>
                <w:sz w:val="18"/>
                <w:u w:val="none"/>
              </w:rPr>
              <w:t xml:space="preserve"> reports and </w:t>
            </w:r>
            <w:proofErr w:type="spellStart"/>
            <w:r w:rsidRPr="00D3600C">
              <w:rPr>
                <w:rStyle w:val="15"/>
                <w:rFonts w:ascii="Calibri" w:hAnsi="Calibri" w:cs="Calibri"/>
                <w:b/>
                <w:color w:val="008000"/>
                <w:sz w:val="18"/>
                <w:u w:val="none"/>
              </w:rPr>
              <w:t>RVQoE</w:t>
            </w:r>
            <w:proofErr w:type="spellEnd"/>
            <w:r w:rsidRPr="00D3600C">
              <w:rPr>
                <w:rStyle w:val="15"/>
                <w:rFonts w:ascii="Calibri" w:hAnsi="Calibri" w:cs="Calibri"/>
                <w:b/>
                <w:color w:val="008000"/>
                <w:sz w:val="18"/>
                <w:u w:val="none"/>
              </w:rPr>
              <w:t xml:space="preserve"> reports pertaining to the same </w:t>
            </w:r>
            <w:proofErr w:type="spellStart"/>
            <w:r w:rsidRPr="00D3600C">
              <w:rPr>
                <w:rStyle w:val="15"/>
                <w:rFonts w:ascii="Calibri" w:hAnsi="Calibri" w:cs="Calibri"/>
                <w:b/>
                <w:color w:val="008000"/>
                <w:sz w:val="18"/>
                <w:u w:val="none"/>
              </w:rPr>
              <w:t>QoE</w:t>
            </w:r>
            <w:proofErr w:type="spellEnd"/>
            <w:r w:rsidRPr="00D3600C">
              <w:rPr>
                <w:rStyle w:val="15"/>
                <w:rFonts w:ascii="Calibri" w:hAnsi="Calibri" w:cs="Calibri"/>
                <w:b/>
                <w:color w:val="008000"/>
                <w:sz w:val="18"/>
                <w:u w:val="none"/>
              </w:rPr>
              <w:t xml:space="preserve"> reference can be sent over the same leg. </w:t>
            </w:r>
            <w:r w:rsidRPr="00D3600C">
              <w:rPr>
                <w:rFonts w:ascii="Calibri" w:hAnsi="Calibri" w:cs="Calibri"/>
                <w:b/>
                <w:color w:val="008000"/>
                <w:sz w:val="18"/>
              </w:rPr>
              <w:t xml:space="preserve">  </w:t>
            </w:r>
          </w:p>
          <w:p w14:paraId="602B149A" w14:textId="77777777" w:rsidR="00D3600C" w:rsidRPr="00D3600C" w:rsidRDefault="00D3600C" w:rsidP="00D3600C">
            <w:pPr>
              <w:spacing w:before="120" w:after="0"/>
              <w:rPr>
                <w:rFonts w:ascii="Calibri" w:hAnsi="Calibri" w:cs="Calibri"/>
                <w:b/>
                <w:color w:val="008000"/>
                <w:sz w:val="18"/>
              </w:rPr>
            </w:pPr>
            <w:r w:rsidRPr="00D3600C">
              <w:rPr>
                <w:rStyle w:val="15"/>
                <w:rFonts w:ascii="Calibri" w:hAnsi="Calibri" w:cs="Calibri"/>
                <w:b/>
                <w:color w:val="008000"/>
                <w:sz w:val="18"/>
                <w:u w:val="none"/>
              </w:rPr>
              <w:t xml:space="preserve">WA: </w:t>
            </w:r>
            <w:proofErr w:type="spellStart"/>
            <w:r w:rsidRPr="00D3600C">
              <w:rPr>
                <w:rStyle w:val="15"/>
                <w:rFonts w:ascii="Calibri" w:hAnsi="Calibri" w:cs="Calibri"/>
                <w:b/>
                <w:color w:val="008000"/>
                <w:sz w:val="18"/>
                <w:u w:val="none"/>
              </w:rPr>
              <w:t>QoE</w:t>
            </w:r>
            <w:proofErr w:type="spellEnd"/>
            <w:r w:rsidRPr="00D3600C">
              <w:rPr>
                <w:rStyle w:val="15"/>
                <w:rFonts w:ascii="Calibri" w:hAnsi="Calibri" w:cs="Calibri"/>
                <w:b/>
                <w:color w:val="008000"/>
                <w:sz w:val="18"/>
                <w:u w:val="none"/>
              </w:rPr>
              <w:t xml:space="preserve"> reports and </w:t>
            </w:r>
            <w:proofErr w:type="spellStart"/>
            <w:r w:rsidRPr="00D3600C">
              <w:rPr>
                <w:rStyle w:val="15"/>
                <w:rFonts w:ascii="Calibri" w:hAnsi="Calibri" w:cs="Calibri"/>
                <w:b/>
                <w:color w:val="008000"/>
                <w:sz w:val="18"/>
                <w:u w:val="none"/>
              </w:rPr>
              <w:t>RVQoE</w:t>
            </w:r>
            <w:proofErr w:type="spellEnd"/>
            <w:r w:rsidRPr="00D3600C">
              <w:rPr>
                <w:rStyle w:val="15"/>
                <w:rFonts w:ascii="Calibri" w:hAnsi="Calibri" w:cs="Calibri"/>
                <w:b/>
                <w:color w:val="008000"/>
                <w:sz w:val="18"/>
                <w:u w:val="none"/>
              </w:rPr>
              <w:t xml:space="preserve"> reports pertaining to the same </w:t>
            </w:r>
            <w:proofErr w:type="spellStart"/>
            <w:r w:rsidRPr="00D3600C">
              <w:rPr>
                <w:rStyle w:val="15"/>
                <w:rFonts w:ascii="Calibri" w:hAnsi="Calibri" w:cs="Calibri"/>
                <w:b/>
                <w:color w:val="008000"/>
                <w:sz w:val="18"/>
                <w:u w:val="none"/>
              </w:rPr>
              <w:t>QoE</w:t>
            </w:r>
            <w:proofErr w:type="spellEnd"/>
            <w:r w:rsidRPr="00D3600C">
              <w:rPr>
                <w:rStyle w:val="15"/>
                <w:rFonts w:ascii="Calibri" w:hAnsi="Calibri" w:cs="Calibri"/>
                <w:b/>
                <w:color w:val="008000"/>
                <w:sz w:val="18"/>
                <w:u w:val="none"/>
              </w:rPr>
              <w:t xml:space="preserve"> reference can be sent over different legs. </w:t>
            </w:r>
            <w:r w:rsidRPr="00D3600C">
              <w:rPr>
                <w:rFonts w:ascii="Calibri" w:hAnsi="Calibri" w:cs="Calibri"/>
                <w:b/>
                <w:color w:val="008000"/>
                <w:sz w:val="18"/>
              </w:rPr>
              <w:t xml:space="preserve"> </w:t>
            </w:r>
          </w:p>
          <w:p w14:paraId="10788DE3" w14:textId="77777777" w:rsidR="00D3600C" w:rsidRDefault="00D3600C" w:rsidP="00E31B75">
            <w:pPr>
              <w:jc w:val="both"/>
              <w:rPr>
                <w:iCs/>
                <w:lang w:val="en-US"/>
              </w:rPr>
            </w:pPr>
          </w:p>
        </w:tc>
      </w:tr>
    </w:tbl>
    <w:p w14:paraId="69EBF47D" w14:textId="77777777" w:rsidR="00D3600C" w:rsidRDefault="00D3600C" w:rsidP="00E31B75">
      <w:pPr>
        <w:jc w:val="both"/>
        <w:rPr>
          <w:iCs/>
          <w:lang w:val="en-US"/>
        </w:rPr>
      </w:pPr>
    </w:p>
    <w:p w14:paraId="40CBF398" w14:textId="47A6ECA5" w:rsidR="00D3600C" w:rsidRPr="00060B54" w:rsidRDefault="002B5CE7" w:rsidP="00E31B75">
      <w:pPr>
        <w:jc w:val="both"/>
        <w:rPr>
          <w:iCs/>
          <w:lang w:val="en-US"/>
        </w:rPr>
      </w:pPr>
      <w:r>
        <w:rPr>
          <w:iCs/>
          <w:lang w:val="en-US"/>
        </w:rPr>
        <w:lastRenderedPageBreak/>
        <w:t>Therefore,</w:t>
      </w:r>
      <w:r w:rsidR="00A47882">
        <w:rPr>
          <w:iCs/>
          <w:lang w:val="en-US"/>
        </w:rPr>
        <w:t xml:space="preserve"> RAN2 can further discuss how </w:t>
      </w:r>
      <w:proofErr w:type="spellStart"/>
      <w:r w:rsidR="00A47882">
        <w:rPr>
          <w:iCs/>
          <w:lang w:val="en-US"/>
        </w:rPr>
        <w:t>RVQoE</w:t>
      </w:r>
      <w:proofErr w:type="spellEnd"/>
      <w:r w:rsidR="00A47882">
        <w:rPr>
          <w:iCs/>
          <w:lang w:val="en-US"/>
        </w:rPr>
        <w:t xml:space="preserve"> can be handled after </w:t>
      </w:r>
      <w:r w:rsidR="00DC7CAC">
        <w:rPr>
          <w:iCs/>
          <w:lang w:val="en-US"/>
        </w:rPr>
        <w:t xml:space="preserve">RAN3 </w:t>
      </w:r>
      <w:r w:rsidR="00A47882">
        <w:rPr>
          <w:iCs/>
          <w:lang w:val="en-US"/>
        </w:rPr>
        <w:t xml:space="preserve">conforms </w:t>
      </w:r>
      <w:r w:rsidR="00DC7CAC">
        <w:rPr>
          <w:iCs/>
          <w:lang w:val="en-US"/>
        </w:rPr>
        <w:t xml:space="preserve">the working assumption where </w:t>
      </w:r>
      <w:r w:rsidR="00A47882">
        <w:rPr>
          <w:iCs/>
          <w:lang w:val="en-US"/>
        </w:rPr>
        <w:t xml:space="preserve">encapsulated </w:t>
      </w:r>
      <w:proofErr w:type="spellStart"/>
      <w:r w:rsidR="00DC7CAC">
        <w:rPr>
          <w:iCs/>
          <w:lang w:val="en-US"/>
        </w:rPr>
        <w:t>QoE</w:t>
      </w:r>
      <w:proofErr w:type="spellEnd"/>
      <w:r w:rsidR="00DC7CAC">
        <w:rPr>
          <w:iCs/>
          <w:lang w:val="en-US"/>
        </w:rPr>
        <w:t xml:space="preserve"> and </w:t>
      </w:r>
      <w:proofErr w:type="spellStart"/>
      <w:r w:rsidR="00DC7CAC">
        <w:rPr>
          <w:iCs/>
          <w:lang w:val="en-US"/>
        </w:rPr>
        <w:t>RV</w:t>
      </w:r>
      <w:r w:rsidR="00A47882">
        <w:rPr>
          <w:iCs/>
          <w:lang w:val="en-US"/>
        </w:rPr>
        <w:t>QoE</w:t>
      </w:r>
      <w:proofErr w:type="spellEnd"/>
      <w:r w:rsidR="00A47882">
        <w:rPr>
          <w:iCs/>
          <w:lang w:val="en-US"/>
        </w:rPr>
        <w:t xml:space="preserve"> can be reported over different cell groups.</w:t>
      </w:r>
    </w:p>
    <w:p w14:paraId="168C364C" w14:textId="07FE2A70" w:rsidR="00D15DE7" w:rsidRDefault="00D15DE7" w:rsidP="00D15DE7">
      <w:pPr>
        <w:jc w:val="both"/>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 xml:space="preserve">The functionality of </w:t>
      </w:r>
      <w:proofErr w:type="spellStart"/>
      <w:r w:rsidRPr="00A47882">
        <w:rPr>
          <w:b/>
          <w:bCs/>
          <w:i/>
          <w:lang w:val="en-US"/>
        </w:rPr>
        <w:t>pauseReporting</w:t>
      </w:r>
      <w:proofErr w:type="spellEnd"/>
      <w:r w:rsidRPr="00A47882">
        <w:rPr>
          <w:b/>
          <w:bCs/>
          <w:i/>
          <w:lang w:val="en-US"/>
        </w:rPr>
        <w:t xml:space="preserve"> </w:t>
      </w:r>
      <w:r>
        <w:rPr>
          <w:b/>
          <w:bCs/>
          <w:iCs/>
          <w:lang w:val="en-US"/>
        </w:rPr>
        <w:t xml:space="preserve">in </w:t>
      </w:r>
      <w:proofErr w:type="spellStart"/>
      <w:r w:rsidRPr="00D15DE7">
        <w:rPr>
          <w:b/>
          <w:bCs/>
          <w:i/>
          <w:lang w:val="en-US"/>
        </w:rPr>
        <w:t>AppLayerMeasConfig</w:t>
      </w:r>
      <w:proofErr w:type="spellEnd"/>
      <w:r>
        <w:rPr>
          <w:b/>
          <w:bCs/>
          <w:iCs/>
          <w:lang w:val="en-US"/>
        </w:rPr>
        <w:t xml:space="preserve"> can be extended to support the indication of reporting </w:t>
      </w:r>
      <w:r w:rsidR="00AD3723">
        <w:rPr>
          <w:b/>
          <w:bCs/>
          <w:iCs/>
          <w:lang w:val="en-US"/>
        </w:rPr>
        <w:t xml:space="preserve">leg </w:t>
      </w:r>
      <w:r>
        <w:rPr>
          <w:b/>
          <w:bCs/>
          <w:iCs/>
          <w:lang w:val="en-US"/>
        </w:rPr>
        <w:t xml:space="preserve">switching. The UE can be instructed to either pause reporting of encapsulated </w:t>
      </w:r>
      <w:proofErr w:type="spellStart"/>
      <w:r>
        <w:rPr>
          <w:b/>
          <w:bCs/>
          <w:iCs/>
          <w:lang w:val="en-US"/>
        </w:rPr>
        <w:t>QoE</w:t>
      </w:r>
      <w:proofErr w:type="spellEnd"/>
      <w:r>
        <w:rPr>
          <w:b/>
          <w:bCs/>
          <w:iCs/>
          <w:lang w:val="en-US"/>
        </w:rPr>
        <w:t xml:space="preserve"> entirely (as in Rel-17), or to switch the </w:t>
      </w:r>
      <w:r w:rsidR="00AD3723">
        <w:rPr>
          <w:b/>
          <w:bCs/>
          <w:iCs/>
          <w:lang w:val="en-US"/>
        </w:rPr>
        <w:t>path</w:t>
      </w:r>
      <w:r>
        <w:rPr>
          <w:b/>
          <w:bCs/>
          <w:iCs/>
          <w:lang w:val="en-US"/>
        </w:rPr>
        <w:t xml:space="preserve"> for reporting of encapsulated </w:t>
      </w:r>
      <w:proofErr w:type="spellStart"/>
      <w:r>
        <w:rPr>
          <w:b/>
          <w:bCs/>
          <w:iCs/>
          <w:lang w:val="en-US"/>
        </w:rPr>
        <w:t>QoE</w:t>
      </w:r>
      <w:proofErr w:type="spellEnd"/>
      <w:r>
        <w:rPr>
          <w:b/>
          <w:bCs/>
          <w:iCs/>
          <w:lang w:val="en-US"/>
        </w:rPr>
        <w:t xml:space="preserve">. FFS how </w:t>
      </w:r>
      <w:proofErr w:type="spellStart"/>
      <w:r>
        <w:rPr>
          <w:b/>
          <w:bCs/>
          <w:iCs/>
          <w:lang w:val="en-US"/>
        </w:rPr>
        <w:t>RVQoE</w:t>
      </w:r>
      <w:proofErr w:type="spellEnd"/>
      <w:r>
        <w:rPr>
          <w:b/>
          <w:bCs/>
          <w:iCs/>
          <w:lang w:val="en-US"/>
        </w:rPr>
        <w:t xml:space="preserve"> should be handled</w:t>
      </w:r>
      <w:r w:rsidR="002B5CE7">
        <w:rPr>
          <w:b/>
          <w:bCs/>
          <w:iCs/>
          <w:lang w:val="en-US"/>
        </w:rPr>
        <w:t xml:space="preserve"> upon reporting SRB switching</w:t>
      </w:r>
      <w:r>
        <w:rPr>
          <w:b/>
          <w:bCs/>
          <w:iCs/>
          <w:lang w:val="en-US"/>
        </w:rPr>
        <w:t>.</w:t>
      </w:r>
    </w:p>
    <w:p w14:paraId="447BCFD0" w14:textId="77777777" w:rsidR="00306076" w:rsidRDefault="00306076" w:rsidP="00060B54">
      <w:pPr>
        <w:jc w:val="both"/>
        <w:rPr>
          <w:b/>
          <w:bCs/>
          <w:iCs/>
          <w:lang w:val="en-US"/>
        </w:rPr>
      </w:pPr>
    </w:p>
    <w:p w14:paraId="3B69AE51" w14:textId="63265F03" w:rsidR="00A47882" w:rsidRDefault="00A47882" w:rsidP="00060B54">
      <w:pPr>
        <w:jc w:val="both"/>
        <w:rPr>
          <w:iCs/>
          <w:lang w:val="en-US"/>
        </w:rPr>
      </w:pPr>
      <w:r>
        <w:rPr>
          <w:iCs/>
          <w:lang w:val="en-US"/>
        </w:rPr>
        <w:t xml:space="preserve">On the other hand, apart from the explicit indication from the network for SRB switching, we think the UE should </w:t>
      </w:r>
      <w:r w:rsidR="002B5CE7">
        <w:rPr>
          <w:iCs/>
          <w:lang w:val="en-US"/>
        </w:rPr>
        <w:t xml:space="preserve">also </w:t>
      </w:r>
      <w:r>
        <w:rPr>
          <w:iCs/>
          <w:lang w:val="en-US"/>
        </w:rPr>
        <w:t xml:space="preserve">be able to switch the SRB when certain conditions are met. </w:t>
      </w:r>
      <w:proofErr w:type="gramStart"/>
      <w:r w:rsidR="00306076">
        <w:rPr>
          <w:iCs/>
          <w:lang w:val="en-US"/>
        </w:rPr>
        <w:t>In particular, for</w:t>
      </w:r>
      <w:proofErr w:type="gramEnd"/>
      <w:r w:rsidR="00306076">
        <w:rPr>
          <w:iCs/>
          <w:lang w:val="en-US"/>
        </w:rPr>
        <w:t xml:space="preserve"> </w:t>
      </w:r>
      <w:proofErr w:type="spellStart"/>
      <w:r w:rsidR="00306076">
        <w:rPr>
          <w:iCs/>
          <w:lang w:val="en-US"/>
        </w:rPr>
        <w:t>QoE</w:t>
      </w:r>
      <w:proofErr w:type="spellEnd"/>
      <w:r w:rsidR="00306076">
        <w:rPr>
          <w:iCs/>
          <w:lang w:val="en-US"/>
        </w:rPr>
        <w:t xml:space="preserve"> reporting configured on SRB5, if </w:t>
      </w:r>
      <w:r w:rsidR="001830D2">
        <w:rPr>
          <w:iCs/>
          <w:lang w:val="en-US"/>
        </w:rPr>
        <w:t>all serving cells in SCG are deactivated</w:t>
      </w:r>
      <w:r w:rsidR="00306076">
        <w:rPr>
          <w:iCs/>
          <w:lang w:val="en-US"/>
        </w:rPr>
        <w:t xml:space="preserve">, the UE may switch the reporting leg to SRB4 autonomously in order to continue the </w:t>
      </w:r>
      <w:proofErr w:type="spellStart"/>
      <w:r w:rsidR="00306076">
        <w:rPr>
          <w:iCs/>
          <w:lang w:val="en-US"/>
        </w:rPr>
        <w:t>QoE</w:t>
      </w:r>
      <w:proofErr w:type="spellEnd"/>
      <w:r w:rsidR="00306076">
        <w:rPr>
          <w:iCs/>
          <w:lang w:val="en-US"/>
        </w:rPr>
        <w:t xml:space="preserve"> reporting.</w:t>
      </w:r>
    </w:p>
    <w:p w14:paraId="456B885F" w14:textId="18DF1E4C" w:rsidR="00306076" w:rsidRDefault="00306076" w:rsidP="00306076">
      <w:pPr>
        <w:jc w:val="both"/>
        <w:rPr>
          <w:b/>
          <w:bCs/>
          <w:iCs/>
          <w:lang w:val="en-US"/>
        </w:rPr>
      </w:pPr>
      <w:r w:rsidRPr="006E52F4">
        <w:rPr>
          <w:b/>
          <w:bCs/>
          <w:iCs/>
          <w:lang w:val="en-US"/>
        </w:rPr>
        <w:t xml:space="preserve">Proposal </w:t>
      </w:r>
      <w:r>
        <w:rPr>
          <w:b/>
          <w:bCs/>
          <w:iCs/>
          <w:lang w:val="en-US"/>
        </w:rPr>
        <w:t>4</w:t>
      </w:r>
      <w:r w:rsidRPr="006E52F4">
        <w:rPr>
          <w:b/>
          <w:bCs/>
          <w:iCs/>
          <w:lang w:val="en-US"/>
        </w:rPr>
        <w:t xml:space="preserve">: </w:t>
      </w:r>
      <w:r>
        <w:rPr>
          <w:b/>
          <w:bCs/>
          <w:iCs/>
          <w:lang w:val="en-US"/>
        </w:rPr>
        <w:t xml:space="preserve">The UE may switch </w:t>
      </w:r>
      <w:proofErr w:type="spellStart"/>
      <w:r>
        <w:rPr>
          <w:b/>
          <w:bCs/>
          <w:iCs/>
          <w:lang w:val="en-US"/>
        </w:rPr>
        <w:t>QoE</w:t>
      </w:r>
      <w:proofErr w:type="spellEnd"/>
      <w:r>
        <w:rPr>
          <w:b/>
          <w:bCs/>
          <w:iCs/>
          <w:lang w:val="en-US"/>
        </w:rPr>
        <w:t xml:space="preserve"> reporting </w:t>
      </w:r>
      <w:r w:rsidR="00AD3723">
        <w:rPr>
          <w:b/>
          <w:bCs/>
          <w:iCs/>
          <w:lang w:val="en-US"/>
        </w:rPr>
        <w:t xml:space="preserve">path from SCG to MCG </w:t>
      </w:r>
      <w:r>
        <w:rPr>
          <w:b/>
          <w:bCs/>
          <w:iCs/>
          <w:lang w:val="en-US"/>
        </w:rPr>
        <w:t xml:space="preserve">when </w:t>
      </w:r>
      <w:r w:rsidR="001830D2">
        <w:rPr>
          <w:b/>
          <w:bCs/>
          <w:iCs/>
          <w:lang w:val="en-US"/>
        </w:rPr>
        <w:t xml:space="preserve">there </w:t>
      </w:r>
      <w:proofErr w:type="gramStart"/>
      <w:r w:rsidR="001830D2">
        <w:rPr>
          <w:b/>
          <w:bCs/>
          <w:iCs/>
          <w:lang w:val="en-US"/>
        </w:rPr>
        <w:t>is</w:t>
      </w:r>
      <w:proofErr w:type="gramEnd"/>
      <w:r w:rsidR="001830D2">
        <w:rPr>
          <w:b/>
          <w:bCs/>
          <w:iCs/>
          <w:lang w:val="en-US"/>
        </w:rPr>
        <w:t xml:space="preserve"> no active cells </w:t>
      </w:r>
      <w:r>
        <w:rPr>
          <w:b/>
          <w:bCs/>
          <w:iCs/>
          <w:lang w:val="en-US"/>
        </w:rPr>
        <w:t>the SCG.</w:t>
      </w:r>
    </w:p>
    <w:p w14:paraId="4DD1D0D6" w14:textId="77777777" w:rsidR="00E31B75" w:rsidRPr="00060B54" w:rsidRDefault="00E31B75" w:rsidP="00E31B75">
      <w:pPr>
        <w:jc w:val="both"/>
        <w:rPr>
          <w:iCs/>
        </w:rPr>
      </w:pPr>
    </w:p>
    <w:p w14:paraId="3B62EC4A" w14:textId="77777777" w:rsidR="009B0746" w:rsidRPr="00CB5EE9" w:rsidRDefault="009B0746" w:rsidP="009B0746">
      <w:pPr>
        <w:pStyle w:val="Heading1"/>
        <w:rPr>
          <w:lang w:val="en-US"/>
        </w:rPr>
      </w:pPr>
      <w:r>
        <w:rPr>
          <w:lang w:val="en-US"/>
        </w:rPr>
        <w:t>Conclusions</w:t>
      </w:r>
    </w:p>
    <w:p w14:paraId="5504373C" w14:textId="7534A61B" w:rsidR="00691958" w:rsidRDefault="002929D8" w:rsidP="00666107">
      <w:pPr>
        <w:jc w:val="both"/>
        <w:rPr>
          <w:iCs/>
          <w:lang w:val="en-US"/>
        </w:rPr>
      </w:pPr>
      <w:r>
        <w:rPr>
          <w:iCs/>
          <w:lang w:val="en-US"/>
        </w:rPr>
        <w:t>In this contribution,</w:t>
      </w:r>
      <w:r w:rsidR="00691958">
        <w:rPr>
          <w:iCs/>
          <w:lang w:val="en-US"/>
        </w:rPr>
        <w:t xml:space="preserve"> we have discussed some of our opinions about </w:t>
      </w:r>
      <w:proofErr w:type="spellStart"/>
      <w:r w:rsidR="00691958">
        <w:rPr>
          <w:iCs/>
          <w:lang w:val="en-US"/>
        </w:rPr>
        <w:t>QoE</w:t>
      </w:r>
      <w:proofErr w:type="spellEnd"/>
      <w:r w:rsidR="00691958">
        <w:rPr>
          <w:iCs/>
          <w:lang w:val="en-US"/>
        </w:rPr>
        <w:t xml:space="preserve"> reporting in NR-DC scenarios, and proposed the following:</w:t>
      </w:r>
    </w:p>
    <w:p w14:paraId="51488269" w14:textId="77777777" w:rsidR="00306076" w:rsidRDefault="00306076" w:rsidP="00306076">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Pr>
          <w:b/>
          <w:bCs/>
          <w:iCs/>
          <w:lang w:val="en-US"/>
        </w:rPr>
        <w:t xml:space="preserve">Based on the latest RAN3 agreements, RAN2 can assume that MN knows where the forward the SN-associated </w:t>
      </w:r>
      <w:proofErr w:type="spellStart"/>
      <w:r>
        <w:rPr>
          <w:b/>
          <w:bCs/>
          <w:iCs/>
          <w:lang w:val="en-US"/>
        </w:rPr>
        <w:t>QoE</w:t>
      </w:r>
      <w:proofErr w:type="spellEnd"/>
      <w:r>
        <w:rPr>
          <w:b/>
          <w:bCs/>
          <w:iCs/>
          <w:lang w:val="en-US"/>
        </w:rPr>
        <w:t xml:space="preserve"> reports, </w:t>
      </w:r>
      <w:proofErr w:type="gramStart"/>
      <w:r>
        <w:rPr>
          <w:b/>
          <w:bCs/>
          <w:iCs/>
          <w:lang w:val="en-US"/>
        </w:rPr>
        <w:t>as long as</w:t>
      </w:r>
      <w:proofErr w:type="gramEnd"/>
      <w:r>
        <w:rPr>
          <w:b/>
          <w:bCs/>
          <w:iCs/>
          <w:lang w:val="en-US"/>
        </w:rPr>
        <w:t xml:space="preserve"> MN and SN are coordinated. </w:t>
      </w:r>
    </w:p>
    <w:p w14:paraId="23B0839A" w14:textId="77777777" w:rsidR="00306076" w:rsidRDefault="00306076" w:rsidP="00306076">
      <w:pPr>
        <w:jc w:val="both"/>
        <w:rPr>
          <w:rStyle w:val="apple-converted-space"/>
          <w:b/>
          <w:bCs/>
          <w:color w:val="000000"/>
        </w:rPr>
      </w:pPr>
      <w:r w:rsidRPr="006E52F4">
        <w:rPr>
          <w:b/>
          <w:bCs/>
          <w:iCs/>
          <w:lang w:val="en-US"/>
        </w:rPr>
        <w:t xml:space="preserve">Proposal </w:t>
      </w:r>
      <w:r>
        <w:rPr>
          <w:b/>
          <w:bCs/>
          <w:iCs/>
          <w:lang w:val="en-US"/>
        </w:rPr>
        <w:t>2</w:t>
      </w:r>
      <w:r w:rsidRPr="006E52F4">
        <w:rPr>
          <w:b/>
          <w:bCs/>
          <w:iCs/>
          <w:lang w:val="en-US"/>
        </w:rPr>
        <w:t xml:space="preserve">: </w:t>
      </w:r>
      <w:r>
        <w:rPr>
          <w:b/>
          <w:bCs/>
          <w:iCs/>
          <w:lang w:val="en-US"/>
        </w:rPr>
        <w:t xml:space="preserve">The </w:t>
      </w:r>
      <w:proofErr w:type="spellStart"/>
      <w:r w:rsidRPr="009D3FFD">
        <w:rPr>
          <w:rStyle w:val="apple-converted-space"/>
          <w:b/>
          <w:bCs/>
          <w:i/>
          <w:iCs/>
          <w:color w:val="000000"/>
        </w:rPr>
        <w:t>ULInformationTransferMRDC</w:t>
      </w:r>
      <w:proofErr w:type="spellEnd"/>
      <w:r w:rsidRPr="009D3FFD">
        <w:rPr>
          <w:rStyle w:val="apple-converted-space"/>
          <w:b/>
          <w:bCs/>
          <w:i/>
          <w:iCs/>
          <w:color w:val="000000"/>
        </w:rPr>
        <w:t xml:space="preserve"> </w:t>
      </w:r>
      <w:r w:rsidRPr="009D3FFD">
        <w:rPr>
          <w:rStyle w:val="apple-converted-space"/>
          <w:b/>
          <w:bCs/>
          <w:color w:val="000000"/>
        </w:rPr>
        <w:t xml:space="preserve">message </w:t>
      </w:r>
      <w:r>
        <w:rPr>
          <w:rStyle w:val="apple-converted-space"/>
          <w:b/>
          <w:bCs/>
          <w:color w:val="000000"/>
        </w:rPr>
        <w:t xml:space="preserve">can be </w:t>
      </w:r>
      <w:r w:rsidRPr="009D3FFD">
        <w:rPr>
          <w:rStyle w:val="apple-converted-space"/>
          <w:b/>
          <w:bCs/>
          <w:color w:val="000000"/>
        </w:rPr>
        <w:t xml:space="preserve">extended to support </w:t>
      </w:r>
      <w:r>
        <w:rPr>
          <w:rStyle w:val="apple-converted-space"/>
          <w:b/>
          <w:bCs/>
          <w:color w:val="000000"/>
        </w:rPr>
        <w:t xml:space="preserve">reporting of at least the SN-associated </w:t>
      </w:r>
      <w:proofErr w:type="spellStart"/>
      <w:r>
        <w:rPr>
          <w:rStyle w:val="apple-converted-space"/>
          <w:b/>
          <w:bCs/>
          <w:color w:val="000000"/>
        </w:rPr>
        <w:t>RVQoE</w:t>
      </w:r>
      <w:proofErr w:type="spellEnd"/>
      <w:r>
        <w:rPr>
          <w:rStyle w:val="apple-converted-space"/>
          <w:b/>
          <w:bCs/>
          <w:color w:val="000000"/>
        </w:rPr>
        <w:t xml:space="preserve"> reports via SRB4.</w:t>
      </w:r>
    </w:p>
    <w:p w14:paraId="73DB6E28" w14:textId="77777777" w:rsidR="002B5CE7" w:rsidRDefault="002B5CE7" w:rsidP="002B5CE7">
      <w:pPr>
        <w:jc w:val="both"/>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 xml:space="preserve">The functionality of </w:t>
      </w:r>
      <w:proofErr w:type="spellStart"/>
      <w:r w:rsidRPr="00A47882">
        <w:rPr>
          <w:b/>
          <w:bCs/>
          <w:i/>
          <w:lang w:val="en-US"/>
        </w:rPr>
        <w:t>pauseReporting</w:t>
      </w:r>
      <w:proofErr w:type="spellEnd"/>
      <w:r w:rsidRPr="00A47882">
        <w:rPr>
          <w:b/>
          <w:bCs/>
          <w:i/>
          <w:lang w:val="en-US"/>
        </w:rPr>
        <w:t xml:space="preserve"> </w:t>
      </w:r>
      <w:r>
        <w:rPr>
          <w:b/>
          <w:bCs/>
          <w:iCs/>
          <w:lang w:val="en-US"/>
        </w:rPr>
        <w:t xml:space="preserve">in </w:t>
      </w:r>
      <w:proofErr w:type="spellStart"/>
      <w:r w:rsidRPr="00D15DE7">
        <w:rPr>
          <w:b/>
          <w:bCs/>
          <w:i/>
          <w:lang w:val="en-US"/>
        </w:rPr>
        <w:t>AppLayerMeasConfig</w:t>
      </w:r>
      <w:proofErr w:type="spellEnd"/>
      <w:r>
        <w:rPr>
          <w:b/>
          <w:bCs/>
          <w:iCs/>
          <w:lang w:val="en-US"/>
        </w:rPr>
        <w:t xml:space="preserve"> can be extended to support the indication of reporting leg switching. The UE can be instructed to either pause reporting of encapsulated </w:t>
      </w:r>
      <w:proofErr w:type="spellStart"/>
      <w:r>
        <w:rPr>
          <w:b/>
          <w:bCs/>
          <w:iCs/>
          <w:lang w:val="en-US"/>
        </w:rPr>
        <w:t>QoE</w:t>
      </w:r>
      <w:proofErr w:type="spellEnd"/>
      <w:r>
        <w:rPr>
          <w:b/>
          <w:bCs/>
          <w:iCs/>
          <w:lang w:val="en-US"/>
        </w:rPr>
        <w:t xml:space="preserve"> entirely (as in Rel-17), or to switch the path for reporting of encapsulated </w:t>
      </w:r>
      <w:proofErr w:type="spellStart"/>
      <w:r>
        <w:rPr>
          <w:b/>
          <w:bCs/>
          <w:iCs/>
          <w:lang w:val="en-US"/>
        </w:rPr>
        <w:t>QoE</w:t>
      </w:r>
      <w:proofErr w:type="spellEnd"/>
      <w:r>
        <w:rPr>
          <w:b/>
          <w:bCs/>
          <w:iCs/>
          <w:lang w:val="en-US"/>
        </w:rPr>
        <w:t xml:space="preserve">. FFS how </w:t>
      </w:r>
      <w:proofErr w:type="spellStart"/>
      <w:r>
        <w:rPr>
          <w:b/>
          <w:bCs/>
          <w:iCs/>
          <w:lang w:val="en-US"/>
        </w:rPr>
        <w:t>RVQoE</w:t>
      </w:r>
      <w:proofErr w:type="spellEnd"/>
      <w:r>
        <w:rPr>
          <w:b/>
          <w:bCs/>
          <w:iCs/>
          <w:lang w:val="en-US"/>
        </w:rPr>
        <w:t xml:space="preserve"> should be handled upon reporting SRB switching.</w:t>
      </w:r>
    </w:p>
    <w:p w14:paraId="1B5A2F50" w14:textId="77777777" w:rsidR="001830D2" w:rsidRDefault="001830D2" w:rsidP="001830D2">
      <w:pPr>
        <w:jc w:val="both"/>
        <w:rPr>
          <w:b/>
          <w:bCs/>
          <w:iCs/>
          <w:lang w:val="en-US"/>
        </w:rPr>
      </w:pPr>
      <w:r w:rsidRPr="006E52F4">
        <w:rPr>
          <w:b/>
          <w:bCs/>
          <w:iCs/>
          <w:lang w:val="en-US"/>
        </w:rPr>
        <w:t xml:space="preserve">Proposal </w:t>
      </w:r>
      <w:r>
        <w:rPr>
          <w:b/>
          <w:bCs/>
          <w:iCs/>
          <w:lang w:val="en-US"/>
        </w:rPr>
        <w:t>4</w:t>
      </w:r>
      <w:r w:rsidRPr="006E52F4">
        <w:rPr>
          <w:b/>
          <w:bCs/>
          <w:iCs/>
          <w:lang w:val="en-US"/>
        </w:rPr>
        <w:t xml:space="preserve">: </w:t>
      </w:r>
      <w:r>
        <w:rPr>
          <w:b/>
          <w:bCs/>
          <w:iCs/>
          <w:lang w:val="en-US"/>
        </w:rPr>
        <w:t xml:space="preserve">The UE may switch </w:t>
      </w:r>
      <w:proofErr w:type="spellStart"/>
      <w:r>
        <w:rPr>
          <w:b/>
          <w:bCs/>
          <w:iCs/>
          <w:lang w:val="en-US"/>
        </w:rPr>
        <w:t>QoE</w:t>
      </w:r>
      <w:proofErr w:type="spellEnd"/>
      <w:r>
        <w:rPr>
          <w:b/>
          <w:bCs/>
          <w:iCs/>
          <w:lang w:val="en-US"/>
        </w:rPr>
        <w:t xml:space="preserve"> reporting path from SCG to MCG when there </w:t>
      </w:r>
      <w:proofErr w:type="gramStart"/>
      <w:r>
        <w:rPr>
          <w:b/>
          <w:bCs/>
          <w:iCs/>
          <w:lang w:val="en-US"/>
        </w:rPr>
        <w:t>is</w:t>
      </w:r>
      <w:proofErr w:type="gramEnd"/>
      <w:r>
        <w:rPr>
          <w:b/>
          <w:bCs/>
          <w:iCs/>
          <w:lang w:val="en-US"/>
        </w:rPr>
        <w:t xml:space="preserve"> no active cells the SCG.</w:t>
      </w:r>
    </w:p>
    <w:p w14:paraId="42431CB1" w14:textId="77777777" w:rsidR="00306076" w:rsidRPr="00AD3723" w:rsidRDefault="00306076" w:rsidP="00306076">
      <w:pPr>
        <w:jc w:val="both"/>
        <w:rPr>
          <w:b/>
          <w:bCs/>
          <w:iCs/>
          <w:lang w:val="en-US"/>
        </w:rPr>
      </w:pPr>
    </w:p>
    <w:p w14:paraId="5585CF77" w14:textId="2C37C2C4" w:rsidR="009B0746" w:rsidRPr="00CB5EE9" w:rsidRDefault="009B0746" w:rsidP="009B0746">
      <w:pPr>
        <w:pStyle w:val="Heading1"/>
        <w:rPr>
          <w:lang w:val="en-US"/>
        </w:rPr>
      </w:pPr>
      <w:r w:rsidRPr="008411FD">
        <w:rPr>
          <w:lang w:val="en-US"/>
        </w:rPr>
        <w:t>References</w:t>
      </w:r>
    </w:p>
    <w:p w14:paraId="6F4278B9" w14:textId="64440261" w:rsidR="00F466E7" w:rsidRPr="001E639C" w:rsidRDefault="00F737A6" w:rsidP="009B0746">
      <w:pPr>
        <w:overflowPunct w:val="0"/>
        <w:autoSpaceDE w:val="0"/>
        <w:autoSpaceDN w:val="0"/>
        <w:adjustRightInd w:val="0"/>
        <w:jc w:val="both"/>
        <w:textAlignment w:val="baseline"/>
        <w:rPr>
          <w:rFonts w:eastAsia="Batang"/>
          <w:bCs/>
          <w:lang w:eastAsia="zh-CN"/>
        </w:rPr>
      </w:pPr>
      <w:r>
        <w:rPr>
          <w:bCs/>
          <w:iCs/>
        </w:rPr>
        <w:t xml:space="preserve">[1] </w:t>
      </w:r>
      <w:r w:rsidR="00D412A9">
        <w:rPr>
          <w:bCs/>
          <w:iCs/>
        </w:rPr>
        <w:t xml:space="preserve">RP-223488, </w:t>
      </w:r>
      <w:r w:rsidR="00D412A9" w:rsidRPr="002929D8">
        <w:rPr>
          <w:rFonts w:eastAsia="Batang"/>
          <w:bCs/>
          <w:lang w:eastAsia="zh-CN"/>
        </w:rPr>
        <w:t xml:space="preserve">WID update for Enhancement on NR </w:t>
      </w:r>
      <w:proofErr w:type="spellStart"/>
      <w:r w:rsidR="00D412A9" w:rsidRPr="002929D8">
        <w:rPr>
          <w:rFonts w:eastAsia="Batang"/>
          <w:bCs/>
          <w:lang w:eastAsia="zh-CN"/>
        </w:rPr>
        <w:t>QoE</w:t>
      </w:r>
      <w:proofErr w:type="spellEnd"/>
      <w:r w:rsidR="00D412A9">
        <w:rPr>
          <w:rFonts w:eastAsia="Batang"/>
          <w:bCs/>
          <w:lang w:eastAsia="zh-CN"/>
        </w:rPr>
        <w:t>, China Unicom, RAN #98, December 2022.</w:t>
      </w:r>
    </w:p>
    <w:sectPr w:rsidR="00F466E7" w:rsidRPr="001E639C"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C1772" w14:textId="77777777" w:rsidR="00AB5D29" w:rsidRDefault="00AB5D29">
      <w:r>
        <w:separator/>
      </w:r>
    </w:p>
  </w:endnote>
  <w:endnote w:type="continuationSeparator" w:id="0">
    <w:p w14:paraId="49949BA6" w14:textId="77777777" w:rsidR="00AB5D29" w:rsidRDefault="00AB5D29">
      <w:r>
        <w:continuationSeparator/>
      </w:r>
    </w:p>
  </w:endnote>
  <w:endnote w:type="continuationNotice" w:id="1">
    <w:p w14:paraId="311B3227" w14:textId="77777777" w:rsidR="00AB5D29" w:rsidRDefault="00AB5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85933" w14:textId="77777777" w:rsidR="00AB5D29" w:rsidRDefault="00AB5D29">
      <w:r>
        <w:separator/>
      </w:r>
    </w:p>
  </w:footnote>
  <w:footnote w:type="continuationSeparator" w:id="0">
    <w:p w14:paraId="254954B7" w14:textId="77777777" w:rsidR="00AB5D29" w:rsidRDefault="00AB5D29">
      <w:r>
        <w:continuationSeparator/>
      </w:r>
    </w:p>
  </w:footnote>
  <w:footnote w:type="continuationNotice" w:id="1">
    <w:p w14:paraId="059F0108" w14:textId="77777777" w:rsidR="00AB5D29" w:rsidRDefault="00AB5D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5705DD"/>
    <w:multiLevelType w:val="multilevel"/>
    <w:tmpl w:val="29E000C2"/>
    <w:lvl w:ilvl="0">
      <w:start w:val="4"/>
      <w:numFmt w:val="bullet"/>
      <w:lvlText w:val="-"/>
      <w:lvlJc w:val="left"/>
      <w:pPr>
        <w:ind w:left="420" w:hanging="42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E05C0"/>
    <w:multiLevelType w:val="hybridMultilevel"/>
    <w:tmpl w:val="9C88A0F0"/>
    <w:lvl w:ilvl="0" w:tplc="A3768516">
      <w:start w:val="20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4"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458E1"/>
    <w:multiLevelType w:val="hybridMultilevel"/>
    <w:tmpl w:val="05E2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E8152F"/>
    <w:multiLevelType w:val="hybridMultilevel"/>
    <w:tmpl w:val="CCFEB2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4563DC"/>
    <w:multiLevelType w:val="hybridMultilevel"/>
    <w:tmpl w:val="009A4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CE17E59"/>
    <w:multiLevelType w:val="hybridMultilevel"/>
    <w:tmpl w:val="DA8A5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8"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27"/>
  </w:num>
  <w:num w:numId="2" w16cid:durableId="1464886471">
    <w:abstractNumId w:val="0"/>
  </w:num>
  <w:num w:numId="3" w16cid:durableId="6106756">
    <w:abstractNumId w:val="1"/>
  </w:num>
  <w:num w:numId="4" w16cid:durableId="9181927">
    <w:abstractNumId w:val="2"/>
  </w:num>
  <w:num w:numId="5" w16cid:durableId="189296478">
    <w:abstractNumId w:val="29"/>
  </w:num>
  <w:num w:numId="6" w16cid:durableId="216478951">
    <w:abstractNumId w:val="3"/>
  </w:num>
  <w:num w:numId="7" w16cid:durableId="2145732921">
    <w:abstractNumId w:val="4"/>
  </w:num>
  <w:num w:numId="8" w16cid:durableId="910503920">
    <w:abstractNumId w:val="14"/>
  </w:num>
  <w:num w:numId="9" w16cid:durableId="418721023">
    <w:abstractNumId w:val="25"/>
  </w:num>
  <w:num w:numId="10" w16cid:durableId="701636600">
    <w:abstractNumId w:val="21"/>
  </w:num>
  <w:num w:numId="11" w16cid:durableId="1130325448">
    <w:abstractNumId w:val="10"/>
  </w:num>
  <w:num w:numId="12" w16cid:durableId="1997687803">
    <w:abstractNumId w:val="18"/>
  </w:num>
  <w:num w:numId="13" w16cid:durableId="1749767913">
    <w:abstractNumId w:val="26"/>
  </w:num>
  <w:num w:numId="14" w16cid:durableId="1287271592">
    <w:abstractNumId w:val="5"/>
  </w:num>
  <w:num w:numId="15" w16cid:durableId="1065492308">
    <w:abstractNumId w:val="9"/>
  </w:num>
  <w:num w:numId="16" w16cid:durableId="92819455">
    <w:abstractNumId w:val="6"/>
  </w:num>
  <w:num w:numId="17" w16cid:durableId="624045031">
    <w:abstractNumId w:val="22"/>
  </w:num>
  <w:num w:numId="18" w16cid:durableId="826672507">
    <w:abstractNumId w:val="30"/>
  </w:num>
  <w:num w:numId="19" w16cid:durableId="1170675232">
    <w:abstractNumId w:val="8"/>
  </w:num>
  <w:num w:numId="20" w16cid:durableId="1548757890">
    <w:abstractNumId w:val="24"/>
  </w:num>
  <w:num w:numId="21" w16cid:durableId="244656901">
    <w:abstractNumId w:val="16"/>
  </w:num>
  <w:num w:numId="22" w16cid:durableId="1671368001">
    <w:abstractNumId w:val="13"/>
  </w:num>
  <w:num w:numId="23" w16cid:durableId="2066752428">
    <w:abstractNumId w:val="15"/>
  </w:num>
  <w:num w:numId="24" w16cid:durableId="236288821">
    <w:abstractNumId w:val="31"/>
  </w:num>
  <w:num w:numId="25" w16cid:durableId="1519196168">
    <w:abstractNumId w:val="12"/>
  </w:num>
  <w:num w:numId="26" w16cid:durableId="585573553">
    <w:abstractNumId w:val="11"/>
  </w:num>
  <w:num w:numId="27" w16cid:durableId="92359676">
    <w:abstractNumId w:val="20"/>
  </w:num>
  <w:num w:numId="28" w16cid:durableId="1372070875">
    <w:abstractNumId w:val="17"/>
  </w:num>
  <w:num w:numId="29" w16cid:durableId="107354488">
    <w:abstractNumId w:val="28"/>
  </w:num>
  <w:num w:numId="30" w16cid:durableId="1999647298">
    <w:abstractNumId w:val="7"/>
  </w:num>
  <w:num w:numId="31" w16cid:durableId="1647976621">
    <w:abstractNumId w:val="19"/>
  </w:num>
  <w:num w:numId="32" w16cid:durableId="1314067582">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6A70"/>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0B5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27"/>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6FB"/>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07D6"/>
    <w:rsid w:val="000B1999"/>
    <w:rsid w:val="000B1D17"/>
    <w:rsid w:val="000B1EFE"/>
    <w:rsid w:val="000B20F7"/>
    <w:rsid w:val="000B2392"/>
    <w:rsid w:val="000B269E"/>
    <w:rsid w:val="000B393C"/>
    <w:rsid w:val="000B3BE0"/>
    <w:rsid w:val="000B4903"/>
    <w:rsid w:val="000B53A4"/>
    <w:rsid w:val="000B7BCF"/>
    <w:rsid w:val="000C04D0"/>
    <w:rsid w:val="000C09D2"/>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02F"/>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01B"/>
    <w:rsid w:val="000F1302"/>
    <w:rsid w:val="000F19D0"/>
    <w:rsid w:val="000F2187"/>
    <w:rsid w:val="000F3136"/>
    <w:rsid w:val="000F324F"/>
    <w:rsid w:val="000F3988"/>
    <w:rsid w:val="000F3D92"/>
    <w:rsid w:val="000F45F0"/>
    <w:rsid w:val="000F4783"/>
    <w:rsid w:val="000F47B2"/>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5E4"/>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05F"/>
    <w:rsid w:val="00155EB5"/>
    <w:rsid w:val="00155F61"/>
    <w:rsid w:val="001565D2"/>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0D2"/>
    <w:rsid w:val="00183209"/>
    <w:rsid w:val="00183485"/>
    <w:rsid w:val="00183AA6"/>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1AD"/>
    <w:rsid w:val="001952C0"/>
    <w:rsid w:val="00195C30"/>
    <w:rsid w:val="0019663D"/>
    <w:rsid w:val="00196918"/>
    <w:rsid w:val="00196CA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3D7C"/>
    <w:rsid w:val="001E42BE"/>
    <w:rsid w:val="001E4609"/>
    <w:rsid w:val="001E4CF9"/>
    <w:rsid w:val="001E5647"/>
    <w:rsid w:val="001E59C7"/>
    <w:rsid w:val="001E5AA6"/>
    <w:rsid w:val="001E639C"/>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39A"/>
    <w:rsid w:val="00277AC5"/>
    <w:rsid w:val="00281395"/>
    <w:rsid w:val="002818D6"/>
    <w:rsid w:val="00281A2D"/>
    <w:rsid w:val="00281E83"/>
    <w:rsid w:val="0028218E"/>
    <w:rsid w:val="002848E4"/>
    <w:rsid w:val="00284B04"/>
    <w:rsid w:val="00285045"/>
    <w:rsid w:val="002855BF"/>
    <w:rsid w:val="00285BA4"/>
    <w:rsid w:val="00285F1C"/>
    <w:rsid w:val="002876FF"/>
    <w:rsid w:val="00287B2E"/>
    <w:rsid w:val="00290391"/>
    <w:rsid w:val="00290688"/>
    <w:rsid w:val="00291C53"/>
    <w:rsid w:val="002928F5"/>
    <w:rsid w:val="00292914"/>
    <w:rsid w:val="002929D8"/>
    <w:rsid w:val="00292ED2"/>
    <w:rsid w:val="002930EA"/>
    <w:rsid w:val="0029322A"/>
    <w:rsid w:val="00294085"/>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5CE7"/>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178C"/>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076"/>
    <w:rsid w:val="003060E8"/>
    <w:rsid w:val="00306725"/>
    <w:rsid w:val="00307650"/>
    <w:rsid w:val="00307ABD"/>
    <w:rsid w:val="00307DE4"/>
    <w:rsid w:val="003101B6"/>
    <w:rsid w:val="003120D1"/>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43E4"/>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515"/>
    <w:rsid w:val="0034162D"/>
    <w:rsid w:val="00342AA1"/>
    <w:rsid w:val="00342AEF"/>
    <w:rsid w:val="00343926"/>
    <w:rsid w:val="0034549F"/>
    <w:rsid w:val="003455A2"/>
    <w:rsid w:val="003458B1"/>
    <w:rsid w:val="00346789"/>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B7FE9"/>
    <w:rsid w:val="003C1C1E"/>
    <w:rsid w:val="003C24A3"/>
    <w:rsid w:val="003C28EA"/>
    <w:rsid w:val="003C2CE7"/>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23C"/>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4CA"/>
    <w:rsid w:val="004545D8"/>
    <w:rsid w:val="00454905"/>
    <w:rsid w:val="004557C8"/>
    <w:rsid w:val="00455849"/>
    <w:rsid w:val="00456672"/>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407"/>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667E"/>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57DDF"/>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0E98"/>
    <w:rsid w:val="005915D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5B55"/>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12A0"/>
    <w:rsid w:val="006024B2"/>
    <w:rsid w:val="00602905"/>
    <w:rsid w:val="006035DC"/>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107"/>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1958"/>
    <w:rsid w:val="00693746"/>
    <w:rsid w:val="006939E7"/>
    <w:rsid w:val="0069563D"/>
    <w:rsid w:val="00696393"/>
    <w:rsid w:val="00696418"/>
    <w:rsid w:val="00696A0C"/>
    <w:rsid w:val="00697CF2"/>
    <w:rsid w:val="006A0830"/>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D660F"/>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3A51"/>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AF6"/>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45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B6CF8"/>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8B"/>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247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C7712"/>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B64"/>
    <w:rsid w:val="00901D6A"/>
    <w:rsid w:val="00901E83"/>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13D4"/>
    <w:rsid w:val="00952C64"/>
    <w:rsid w:val="0095308C"/>
    <w:rsid w:val="00955C83"/>
    <w:rsid w:val="00956612"/>
    <w:rsid w:val="00956701"/>
    <w:rsid w:val="00961B32"/>
    <w:rsid w:val="009646BB"/>
    <w:rsid w:val="00964BB8"/>
    <w:rsid w:val="00965224"/>
    <w:rsid w:val="00965C73"/>
    <w:rsid w:val="009663BD"/>
    <w:rsid w:val="0096704A"/>
    <w:rsid w:val="009675A8"/>
    <w:rsid w:val="009675E8"/>
    <w:rsid w:val="00970DB3"/>
    <w:rsid w:val="0097220A"/>
    <w:rsid w:val="00972BC4"/>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273"/>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1C6"/>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056"/>
    <w:rsid w:val="009D1537"/>
    <w:rsid w:val="009D3B76"/>
    <w:rsid w:val="009D3D90"/>
    <w:rsid w:val="009D3FFD"/>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882"/>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1F34"/>
    <w:rsid w:val="00A32A92"/>
    <w:rsid w:val="00A32F0B"/>
    <w:rsid w:val="00A33B3B"/>
    <w:rsid w:val="00A33F69"/>
    <w:rsid w:val="00A3415E"/>
    <w:rsid w:val="00A34453"/>
    <w:rsid w:val="00A34556"/>
    <w:rsid w:val="00A34999"/>
    <w:rsid w:val="00A34AC4"/>
    <w:rsid w:val="00A34F46"/>
    <w:rsid w:val="00A3562C"/>
    <w:rsid w:val="00A37685"/>
    <w:rsid w:val="00A37A50"/>
    <w:rsid w:val="00A402B7"/>
    <w:rsid w:val="00A41E0C"/>
    <w:rsid w:val="00A42264"/>
    <w:rsid w:val="00A4271D"/>
    <w:rsid w:val="00A43266"/>
    <w:rsid w:val="00A43F67"/>
    <w:rsid w:val="00A444B0"/>
    <w:rsid w:val="00A44576"/>
    <w:rsid w:val="00A449AE"/>
    <w:rsid w:val="00A45390"/>
    <w:rsid w:val="00A47293"/>
    <w:rsid w:val="00A47882"/>
    <w:rsid w:val="00A50115"/>
    <w:rsid w:val="00A5015E"/>
    <w:rsid w:val="00A5139F"/>
    <w:rsid w:val="00A514B4"/>
    <w:rsid w:val="00A53724"/>
    <w:rsid w:val="00A54DA7"/>
    <w:rsid w:val="00A552E5"/>
    <w:rsid w:val="00A560F0"/>
    <w:rsid w:val="00A563D6"/>
    <w:rsid w:val="00A56D65"/>
    <w:rsid w:val="00A56D8B"/>
    <w:rsid w:val="00A579FD"/>
    <w:rsid w:val="00A57A08"/>
    <w:rsid w:val="00A6283C"/>
    <w:rsid w:val="00A62CA6"/>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6FC"/>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D29"/>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723"/>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6FC"/>
    <w:rsid w:val="00B05962"/>
    <w:rsid w:val="00B061C4"/>
    <w:rsid w:val="00B068EB"/>
    <w:rsid w:val="00B06A14"/>
    <w:rsid w:val="00B073DD"/>
    <w:rsid w:val="00B1026D"/>
    <w:rsid w:val="00B1028C"/>
    <w:rsid w:val="00B1035C"/>
    <w:rsid w:val="00B1097F"/>
    <w:rsid w:val="00B1225A"/>
    <w:rsid w:val="00B13509"/>
    <w:rsid w:val="00B14AA4"/>
    <w:rsid w:val="00B15449"/>
    <w:rsid w:val="00B154AD"/>
    <w:rsid w:val="00B1650F"/>
    <w:rsid w:val="00B168A1"/>
    <w:rsid w:val="00B171E4"/>
    <w:rsid w:val="00B17242"/>
    <w:rsid w:val="00B17CD6"/>
    <w:rsid w:val="00B21DF3"/>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3C99"/>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672"/>
    <w:rsid w:val="00BE79A6"/>
    <w:rsid w:val="00BF0123"/>
    <w:rsid w:val="00BF0BDA"/>
    <w:rsid w:val="00BF0F76"/>
    <w:rsid w:val="00BF18B2"/>
    <w:rsid w:val="00BF2AD3"/>
    <w:rsid w:val="00BF367C"/>
    <w:rsid w:val="00BF40E5"/>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59EB"/>
    <w:rsid w:val="00C261EE"/>
    <w:rsid w:val="00C276E9"/>
    <w:rsid w:val="00C27992"/>
    <w:rsid w:val="00C27B75"/>
    <w:rsid w:val="00C301DF"/>
    <w:rsid w:val="00C30CAF"/>
    <w:rsid w:val="00C3101C"/>
    <w:rsid w:val="00C316E9"/>
    <w:rsid w:val="00C31A06"/>
    <w:rsid w:val="00C32DF5"/>
    <w:rsid w:val="00C33079"/>
    <w:rsid w:val="00C34103"/>
    <w:rsid w:val="00C34272"/>
    <w:rsid w:val="00C347BA"/>
    <w:rsid w:val="00C34E16"/>
    <w:rsid w:val="00C35475"/>
    <w:rsid w:val="00C3564A"/>
    <w:rsid w:val="00C35DAB"/>
    <w:rsid w:val="00C36E7F"/>
    <w:rsid w:val="00C375C6"/>
    <w:rsid w:val="00C377E7"/>
    <w:rsid w:val="00C37B4F"/>
    <w:rsid w:val="00C4054A"/>
    <w:rsid w:val="00C40630"/>
    <w:rsid w:val="00C40A67"/>
    <w:rsid w:val="00C42DC8"/>
    <w:rsid w:val="00C43124"/>
    <w:rsid w:val="00C44001"/>
    <w:rsid w:val="00C443BB"/>
    <w:rsid w:val="00C44E98"/>
    <w:rsid w:val="00C47496"/>
    <w:rsid w:val="00C47C47"/>
    <w:rsid w:val="00C507A2"/>
    <w:rsid w:val="00C50C9F"/>
    <w:rsid w:val="00C51B16"/>
    <w:rsid w:val="00C536FA"/>
    <w:rsid w:val="00C55F66"/>
    <w:rsid w:val="00C56412"/>
    <w:rsid w:val="00C56DE4"/>
    <w:rsid w:val="00C60A64"/>
    <w:rsid w:val="00C60A6E"/>
    <w:rsid w:val="00C60FC6"/>
    <w:rsid w:val="00C61C52"/>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1FD1"/>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197B"/>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5DE7"/>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00C"/>
    <w:rsid w:val="00D36188"/>
    <w:rsid w:val="00D36226"/>
    <w:rsid w:val="00D36584"/>
    <w:rsid w:val="00D372D5"/>
    <w:rsid w:val="00D37653"/>
    <w:rsid w:val="00D3765C"/>
    <w:rsid w:val="00D3792D"/>
    <w:rsid w:val="00D40334"/>
    <w:rsid w:val="00D412A9"/>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5E6"/>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097"/>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3CB8"/>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C7CAC"/>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19FA"/>
    <w:rsid w:val="00E03C30"/>
    <w:rsid w:val="00E0431F"/>
    <w:rsid w:val="00E05637"/>
    <w:rsid w:val="00E0579B"/>
    <w:rsid w:val="00E05DA9"/>
    <w:rsid w:val="00E05E63"/>
    <w:rsid w:val="00E066A2"/>
    <w:rsid w:val="00E075DC"/>
    <w:rsid w:val="00E12630"/>
    <w:rsid w:val="00E165E1"/>
    <w:rsid w:val="00E16FDD"/>
    <w:rsid w:val="00E17A66"/>
    <w:rsid w:val="00E21C13"/>
    <w:rsid w:val="00E24FF8"/>
    <w:rsid w:val="00E255FF"/>
    <w:rsid w:val="00E2755D"/>
    <w:rsid w:val="00E27B75"/>
    <w:rsid w:val="00E3045C"/>
    <w:rsid w:val="00E3096F"/>
    <w:rsid w:val="00E31155"/>
    <w:rsid w:val="00E31B7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26"/>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4EA"/>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AB9"/>
    <w:rsid w:val="00EB1DCA"/>
    <w:rsid w:val="00EB256B"/>
    <w:rsid w:val="00EB3070"/>
    <w:rsid w:val="00EB36A5"/>
    <w:rsid w:val="00EB52C0"/>
    <w:rsid w:val="00EB5478"/>
    <w:rsid w:val="00EB5BED"/>
    <w:rsid w:val="00EB685E"/>
    <w:rsid w:val="00EC0332"/>
    <w:rsid w:val="00EC20E3"/>
    <w:rsid w:val="00EC2939"/>
    <w:rsid w:val="00EC2C55"/>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1A"/>
    <w:rsid w:val="00EF69B1"/>
    <w:rsid w:val="00EF73CE"/>
    <w:rsid w:val="00EF74F7"/>
    <w:rsid w:val="00EF7545"/>
    <w:rsid w:val="00EF75F7"/>
    <w:rsid w:val="00EF7BB6"/>
    <w:rsid w:val="00F0059F"/>
    <w:rsid w:val="00F009D6"/>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B6"/>
    <w:rsid w:val="00F26BF7"/>
    <w:rsid w:val="00F273DD"/>
    <w:rsid w:val="00F30999"/>
    <w:rsid w:val="00F30B2A"/>
    <w:rsid w:val="00F312C1"/>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28"/>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48B9"/>
    <w:rsid w:val="00F653B8"/>
    <w:rsid w:val="00F6554C"/>
    <w:rsid w:val="00F703A1"/>
    <w:rsid w:val="00F70BA9"/>
    <w:rsid w:val="00F71B89"/>
    <w:rsid w:val="00F71DDC"/>
    <w:rsid w:val="00F724CA"/>
    <w:rsid w:val="00F730EF"/>
    <w:rsid w:val="00F7353C"/>
    <w:rsid w:val="00F737A6"/>
    <w:rsid w:val="00F7470E"/>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3E5F"/>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17F"/>
    <w:rsid w:val="00FB724C"/>
    <w:rsid w:val="00FB7DAD"/>
    <w:rsid w:val="00FC0FC2"/>
    <w:rsid w:val="00FC1192"/>
    <w:rsid w:val="00FC11AB"/>
    <w:rsid w:val="00FC1EC5"/>
    <w:rsid w:val="00FC205C"/>
    <w:rsid w:val="00FC28B8"/>
    <w:rsid w:val="00FC3570"/>
    <w:rsid w:val="00FC3D10"/>
    <w:rsid w:val="00FC6034"/>
    <w:rsid w:val="00FC7453"/>
    <w:rsid w:val="00FD06F9"/>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Normal4">
    <w:name w:val="Normal4"/>
    <w:rsid w:val="000C09D2"/>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7B6CF8"/>
    <w:pPr>
      <w:spacing w:before="100" w:beforeAutospacing="1"/>
      <w:ind w:left="720"/>
      <w:contextualSpacing/>
    </w:pPr>
    <w:rPr>
      <w:rFonts w:eastAsia="SimSun"/>
      <w:sz w:val="24"/>
      <w:szCs w:val="24"/>
      <w:lang w:val="en-US" w:eastAsia="zh-CN"/>
    </w:rPr>
  </w:style>
  <w:style w:type="paragraph" w:customStyle="1" w:styleId="listparagraph30">
    <w:name w:val="listparagraph3"/>
    <w:basedOn w:val="Normal"/>
    <w:semiHidden/>
    <w:rsid w:val="00C259EB"/>
    <w:pPr>
      <w:spacing w:before="100" w:beforeAutospacing="1" w:after="100" w:afterAutospacing="1"/>
    </w:pPr>
    <w:rPr>
      <w:rFonts w:ascii="Calibri" w:eastAsia="SimSun" w:hAnsi="Calibri" w:cs="Calibri"/>
      <w:sz w:val="22"/>
      <w:szCs w:val="22"/>
      <w:lang w:val="en-US" w:eastAsia="zh-CN"/>
    </w:rPr>
  </w:style>
  <w:style w:type="character" w:customStyle="1" w:styleId="apple-converted-space">
    <w:name w:val="apple-converted-space"/>
    <w:basedOn w:val="DefaultParagraphFont"/>
    <w:rsid w:val="00590E98"/>
  </w:style>
  <w:style w:type="character" w:customStyle="1" w:styleId="15">
    <w:name w:val="15"/>
    <w:rsid w:val="00E664EA"/>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1720</TotalTime>
  <Pages>4</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38</cp:revision>
  <dcterms:created xsi:type="dcterms:W3CDTF">2022-07-28T18:12:00Z</dcterms:created>
  <dcterms:modified xsi:type="dcterms:W3CDTF">2023-05-11T12:48:00Z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